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竞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城投办公楼食堂干杂竞价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雅安城市建设投资开发有限公司</w:t>
      </w:r>
    </w:p>
    <w:bookmarkEnd w:id="0"/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2023年12月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22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项目名称：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城投办公楼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食堂干杂竞</w:t>
            </w:r>
            <w:r>
              <w:rPr>
                <w:rFonts w:hint="eastAsia" w:ascii="宋体" w:hAnsi="宋体"/>
                <w:color w:val="auto"/>
                <w:szCs w:val="21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采购单位名称：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朱琳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0835-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价项目范围、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及其他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1.调味料、干货等食堂干杂用品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详见附件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2.报价为包干价，报价包含食堂干杂及服务费、税费（增值税）、运输费等一切费用，报价不得高于控制价及投标时市场价，且不再额外增加其他费用。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3.服务期内供货价不得高于投标时最终报价，3个月内报价不得增涨。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4.原则上应在我方提出配送或退换要求后，在我方要求时间内（原则在30分钟内）送达，无故超出时间3次，我方有权单方解除合同。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按相关</w:t>
            </w:r>
            <w:r>
              <w:rPr>
                <w:rFonts w:ascii="宋体" w:hAnsi="宋体"/>
                <w:bCs/>
                <w:color w:val="auto"/>
                <w:szCs w:val="21"/>
              </w:rPr>
              <w:t>规范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执行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资格条件要求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有</w:t>
            </w:r>
            <w:r>
              <w:rPr>
                <w:rFonts w:ascii="宋体" w:hAnsi="宋体"/>
                <w:bCs/>
                <w:color w:val="auto"/>
                <w:szCs w:val="21"/>
              </w:rPr>
              <w:t>营业执照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、</w:t>
            </w:r>
            <w:r>
              <w:rPr>
                <w:rFonts w:ascii="宋体" w:hAnsi="宋体"/>
                <w:bCs/>
                <w:color w:val="auto"/>
                <w:szCs w:val="21"/>
              </w:rPr>
              <w:t>税务登记证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书，</w:t>
            </w:r>
            <w:r>
              <w:rPr>
                <w:rFonts w:ascii="宋体" w:hAnsi="宋体"/>
                <w:bCs/>
                <w:color w:val="auto"/>
                <w:szCs w:val="21"/>
              </w:rPr>
              <w:t>能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独立</w:t>
            </w:r>
            <w:r>
              <w:rPr>
                <w:rFonts w:ascii="宋体" w:hAnsi="宋体"/>
                <w:bCs/>
                <w:color w:val="auto"/>
                <w:szCs w:val="21"/>
              </w:rPr>
              <w:t>开具相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ascii="宋体" w:hAnsi="宋体"/>
                <w:bCs/>
                <w:color w:val="auto"/>
                <w:szCs w:val="21"/>
              </w:rPr>
              <w:t>票据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增值税普通发票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1.报价要求：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竞价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函发送时间为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2023年12月27日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至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2023年12月29日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2.报价单组成：（1）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竞价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函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及其附件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；（2）营业执照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盖鲜章；（3）法人授权书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加盖鲜章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；（4）法人身份证复印件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盖鲜章；（5）授权委托人身份证复印件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盖鲜章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；（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资格条件要求所需资料。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报价函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竞价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函递交截止时间：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2024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1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2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09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递交地点：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雅安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（四川省雅安市雨城区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姚桥新区和兴街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1号3楼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签订合同时约定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采用经评审的最低价法，评审价以不含税总价为基数。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的一切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直接或间接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经济损失）。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有权通过诉讼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方式向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报价方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3.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并有权决定与其不再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合作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城投办公楼食堂干杂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878"/>
        <w:gridCol w:w="751"/>
        <w:gridCol w:w="849"/>
        <w:gridCol w:w="1277"/>
        <w:gridCol w:w="1162"/>
        <w:gridCol w:w="1044"/>
        <w:gridCol w:w="1066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66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4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暂定数量</w:t>
            </w: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品牌及规格</w:t>
            </w:r>
          </w:p>
        </w:tc>
        <w:tc>
          <w:tcPr>
            <w:tcW w:w="11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控制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含税</w:t>
            </w:r>
          </w:p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644" w:type="dxa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郫县豆瓣酱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10千克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甜面酱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10千克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食用盐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豪吉鸡精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国泰味精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海天老抽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海天生抽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李锦记蒸鱼豆油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建华香油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老干妈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辣鲜露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448克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东古酱油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恒顺香醋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海天蚝油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大红浙醋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红星二锅头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浓缩鸡汁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藤椒油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花椒油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凤球麦番茄酱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美极鲜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富顺香辣酱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窝窝米酒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818克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海天白醋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玉米淀粉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25千克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鱼泉榨菜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碎米芽菜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辣椒面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辣椒节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白糖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胡椒面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干笋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木耳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海带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花椒粒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花生米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干黄花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八角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山奈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桂皮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大白豆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黄豆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红99火锅料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盈棚泡青菜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盈棚小米椒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2.5千克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含税总合计（元）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不含税总合计（元）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</w:tbl>
    <w:p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：1.报价单价为包干价，包含食堂干杂用品及服务费、税费（增值税）、运输费等一切费用，不再额外增加其他费用。数量为暂定量，以实际发生数量进行结算；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2.服务周期为一年，服务期前3个月内供货单价不得高于投标时最终单价报价，前3个月内报价不得增涨。超过3个月后如有调价，根据市场询价进行协商调整；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3.配送时需按照竞价清单上物品的品牌及规格进行配送，若收货时发现与订购商品规格及价格不符，我方有权拒绝收货；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4.包含但不限于以上干杂用品,未包含在报价单中的其他耗材，费用不高于市场价，并由我公司自主决定是否在报价单位购买；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5.报价时需将此《竞价函》封面、正文、附件表格一并打印，并按要求盖章后密封提交。</w:t>
      </w:r>
    </w:p>
    <w:p>
      <w:pPr>
        <w:spacing w:line="500" w:lineRule="exact"/>
        <w:rPr>
          <w:rFonts w:hint="eastAsia" w:ascii="宋体" w:hAnsi="宋体"/>
          <w:b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后附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：（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及其清单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；（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营业执照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加盖鲜章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；（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法人（经营者）证明或法人授权书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加盖鲜章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；（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法人（经营者）身份证复印件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加盖鲜章；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</w:rPr>
        <w:t>授权委托人身份证复印件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加盖鲜章；（6）资格条件要求所需资料。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</w:rPr>
        <w:t>日期: 　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4C738C"/>
    <w:rsid w:val="038A635A"/>
    <w:rsid w:val="05CB0F64"/>
    <w:rsid w:val="0B892602"/>
    <w:rsid w:val="0C981349"/>
    <w:rsid w:val="0D882EA4"/>
    <w:rsid w:val="0FD07A86"/>
    <w:rsid w:val="108021F2"/>
    <w:rsid w:val="10AD6AAB"/>
    <w:rsid w:val="10EA595B"/>
    <w:rsid w:val="110A1AD5"/>
    <w:rsid w:val="11E50982"/>
    <w:rsid w:val="12FC4EED"/>
    <w:rsid w:val="13383ED1"/>
    <w:rsid w:val="14D36AF4"/>
    <w:rsid w:val="14FD4AC3"/>
    <w:rsid w:val="15AE2336"/>
    <w:rsid w:val="16831E2E"/>
    <w:rsid w:val="16914128"/>
    <w:rsid w:val="180541EC"/>
    <w:rsid w:val="18DB31B1"/>
    <w:rsid w:val="197C5011"/>
    <w:rsid w:val="19873ACF"/>
    <w:rsid w:val="1A7B08FD"/>
    <w:rsid w:val="205D622D"/>
    <w:rsid w:val="243C11B9"/>
    <w:rsid w:val="24E87A6B"/>
    <w:rsid w:val="25495507"/>
    <w:rsid w:val="274C096F"/>
    <w:rsid w:val="276E4B4E"/>
    <w:rsid w:val="284D4DD9"/>
    <w:rsid w:val="28C82872"/>
    <w:rsid w:val="28D52B46"/>
    <w:rsid w:val="2AF75BDF"/>
    <w:rsid w:val="2B3C2B78"/>
    <w:rsid w:val="2B3F186B"/>
    <w:rsid w:val="2BB626E2"/>
    <w:rsid w:val="2DD6761F"/>
    <w:rsid w:val="2E2C0D2A"/>
    <w:rsid w:val="2F212B1B"/>
    <w:rsid w:val="2F947791"/>
    <w:rsid w:val="31D240C7"/>
    <w:rsid w:val="3251489B"/>
    <w:rsid w:val="32AE06F0"/>
    <w:rsid w:val="335863FE"/>
    <w:rsid w:val="34545E59"/>
    <w:rsid w:val="351A6921"/>
    <w:rsid w:val="373E6C5C"/>
    <w:rsid w:val="376C7BDD"/>
    <w:rsid w:val="37F66F05"/>
    <w:rsid w:val="37FC514B"/>
    <w:rsid w:val="38BA649F"/>
    <w:rsid w:val="391A3A3A"/>
    <w:rsid w:val="395D152B"/>
    <w:rsid w:val="39A10E36"/>
    <w:rsid w:val="3C03323D"/>
    <w:rsid w:val="3CA34155"/>
    <w:rsid w:val="3DA23AB0"/>
    <w:rsid w:val="3DAD4B33"/>
    <w:rsid w:val="407578AB"/>
    <w:rsid w:val="40BD4320"/>
    <w:rsid w:val="423559C6"/>
    <w:rsid w:val="424970A6"/>
    <w:rsid w:val="43532873"/>
    <w:rsid w:val="436C0B16"/>
    <w:rsid w:val="438D76F7"/>
    <w:rsid w:val="43B1111A"/>
    <w:rsid w:val="46866FE1"/>
    <w:rsid w:val="47876D4D"/>
    <w:rsid w:val="495A5744"/>
    <w:rsid w:val="4A5F6EC6"/>
    <w:rsid w:val="4A64571C"/>
    <w:rsid w:val="4AE27FBA"/>
    <w:rsid w:val="4BAC0EB9"/>
    <w:rsid w:val="4C560E68"/>
    <w:rsid w:val="4F62413A"/>
    <w:rsid w:val="56501B9C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09522B4"/>
    <w:rsid w:val="625E20AA"/>
    <w:rsid w:val="646C0344"/>
    <w:rsid w:val="671477D9"/>
    <w:rsid w:val="681273DF"/>
    <w:rsid w:val="69CA0E37"/>
    <w:rsid w:val="6B7D454F"/>
    <w:rsid w:val="6D850292"/>
    <w:rsid w:val="6DD076F4"/>
    <w:rsid w:val="6E675169"/>
    <w:rsid w:val="6F1A10C8"/>
    <w:rsid w:val="7217328A"/>
    <w:rsid w:val="7268538D"/>
    <w:rsid w:val="72904241"/>
    <w:rsid w:val="732C48FD"/>
    <w:rsid w:val="756B7C19"/>
    <w:rsid w:val="761C45F1"/>
    <w:rsid w:val="770C0F88"/>
    <w:rsid w:val="7728448C"/>
    <w:rsid w:val="77A03FD3"/>
    <w:rsid w:val="78102BB8"/>
    <w:rsid w:val="796224C0"/>
    <w:rsid w:val="7A0D0355"/>
    <w:rsid w:val="7ABE471B"/>
    <w:rsid w:val="7C664B27"/>
    <w:rsid w:val="7CD21A0D"/>
    <w:rsid w:val="7EFC5C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默认段落字体1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5</Pages>
  <Words>1833</Words>
  <Characters>2030</Characters>
  <Lines>17</Lines>
  <Paragraphs>4</Paragraphs>
  <ScaleCrop>false</ScaleCrop>
  <LinksUpToDate>false</LinksUpToDate>
  <CharactersWithSpaces>2223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朱琳</cp:lastModifiedBy>
  <cp:lastPrinted>2023-12-25T09:13:00Z</cp:lastPrinted>
  <dcterms:modified xsi:type="dcterms:W3CDTF">2023-12-27T08:09:14Z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BB73273D774242CE96BA5A525191E85D</vt:lpwstr>
  </property>
</Properties>
</file>