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Theme="majorEastAsia" w:hAnsiTheme="majorEastAsia" w:eastAsiaTheme="majorEastAsia" w:cstheme="majorEastAsia"/>
          <w:color w:val="000000"/>
          <w:sz w:val="44"/>
          <w:szCs w:val="44"/>
        </w:rPr>
      </w:pPr>
      <w:r>
        <w:rPr>
          <w:rFonts w:hint="eastAsia" w:asciiTheme="majorEastAsia" w:hAnsiTheme="majorEastAsia" w:eastAsiaTheme="majorEastAsia" w:cstheme="majorEastAsia"/>
          <w:color w:val="000000"/>
          <w:sz w:val="44"/>
          <w:szCs w:val="44"/>
          <w:lang w:eastAsia="zh-CN"/>
        </w:rPr>
        <w:t>竞价</w:t>
      </w:r>
      <w:r>
        <w:rPr>
          <w:rFonts w:hint="eastAsia" w:asciiTheme="majorEastAsia" w:hAnsiTheme="majorEastAsia" w:eastAsiaTheme="majorEastAsia" w:cstheme="majorEastAsia"/>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rPr>
        <w:t>我司拟对</w:t>
      </w:r>
      <w:r>
        <w:rPr>
          <w:rFonts w:hint="eastAsia" w:ascii="宋体" w:hAnsi="宋体"/>
          <w:color w:val="000000"/>
          <w:sz w:val="24"/>
          <w:lang w:val="en-US" w:eastAsia="zh-CN"/>
        </w:rPr>
        <w:t>石棉县雅甘凉物流配送中心项目（一期）设计施工总承包EPC标段和石棉县工业物流配送中心建设项目土建劳务分包建筑工程雇主责任保险进行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tbl>
      <w:tblPr>
        <w:tblStyle w:val="11"/>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 w:val="24"/>
                <w:szCs w:val="24"/>
              </w:rPr>
              <w:t>项目名称：</w:t>
            </w:r>
            <w:r>
              <w:rPr>
                <w:rFonts w:hint="eastAsia" w:ascii="宋体" w:hAnsi="宋体"/>
                <w:color w:val="000000"/>
                <w:sz w:val="24"/>
                <w:lang w:val="en-US" w:eastAsia="zh-CN"/>
              </w:rPr>
              <w:t>石棉县雅甘凉物流配送中心项目（一期）设计施工总承包EPC标段和石棉县工业物流配送中心建设项目土建劳务分包建筑工程雇主责任保险采购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bCs w:val="0"/>
                <w:color w:val="000000"/>
                <w:szCs w:val="21"/>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张先生</w:t>
            </w:r>
          </w:p>
        </w:tc>
        <w:tc>
          <w:tcPr>
            <w:tcW w:w="1552" w:type="dxa"/>
            <w:tcBorders>
              <w:bottom w:val="single" w:color="auto" w:sz="4" w:space="0"/>
            </w:tcBorders>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rPr>
              <w:t xml:space="preserve"> </w:t>
            </w:r>
            <w:r>
              <w:rPr>
                <w:rFonts w:hint="eastAsia" w:ascii="宋体" w:hAnsi="宋体"/>
                <w:b w:val="0"/>
                <w:bCs/>
                <w:color w:val="000000"/>
                <w:szCs w:val="21"/>
                <w:lang w:val="en-US" w:eastAsia="zh-CN"/>
              </w:rPr>
              <w:t>13402843341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vAlign w:val="top"/>
          </w:tcPr>
          <w:p>
            <w:pPr>
              <w:tabs>
                <w:tab w:val="left" w:pos="571"/>
              </w:tabs>
              <w:spacing w:line="500" w:lineRule="exact"/>
              <w:jc w:val="left"/>
              <w:rPr>
                <w:rFonts w:hint="eastAsia" w:ascii="宋体" w:hAnsi="宋体"/>
                <w:color w:val="000000"/>
                <w:sz w:val="24"/>
                <w:lang w:val="en-US" w:eastAsia="zh-CN"/>
              </w:rPr>
            </w:pPr>
            <w:r>
              <w:rPr>
                <w:rFonts w:hint="eastAsia" w:ascii="宋体" w:hAnsi="宋体"/>
                <w:color w:val="000000"/>
                <w:sz w:val="24"/>
                <w:lang w:val="en-US" w:eastAsia="zh-CN"/>
              </w:rPr>
              <w:t>承保石棉县雅甘凉物流配送中心项目(一期)项目(门钢)1#、 2#、3#物流作业库土建、城市配送、电商物流中心、市政道路、配套用房工程;工业物流配送中心1#、2#、3#工业品仓库、停车棚、管理及配套服务用房所包含的全部劳务施工内容的建筑工程雇主责任保险（施工合同暂定金额14925000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vAlign w:val="top"/>
          </w:tcPr>
          <w:p>
            <w:pPr>
              <w:tabs>
                <w:tab w:val="left" w:pos="571"/>
              </w:tabs>
              <w:spacing w:line="500" w:lineRule="exact"/>
              <w:jc w:val="left"/>
              <w:rPr>
                <w:rFonts w:hint="default" w:ascii="宋体" w:hAnsi="宋体"/>
                <w:color w:val="000000"/>
                <w:sz w:val="24"/>
                <w:lang w:val="en-US" w:eastAsia="zh-CN"/>
              </w:rPr>
            </w:pPr>
            <w:r>
              <w:rPr>
                <w:rFonts w:hint="eastAsia" w:ascii="宋体" w:hAnsi="宋体"/>
                <w:color w:val="000000"/>
                <w:sz w:val="24"/>
                <w:lang w:val="en-US" w:eastAsia="zh-CN"/>
              </w:rPr>
              <w:t>详见石棉县雅甘凉物流配送中心项目（一期）设计施工总承包EPC标段和石棉县工业物流配送中心建设项目土建劳务分包建筑工程雇主责任保险采购清单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w:t>
            </w:r>
          </w:p>
        </w:tc>
        <w:tc>
          <w:tcPr>
            <w:tcW w:w="7948" w:type="dxa"/>
            <w:gridSpan w:val="3"/>
            <w:tcBorders>
              <w:top w:val="single" w:color="auto" w:sz="4" w:space="0"/>
            </w:tcBorders>
            <w:vAlign w:val="top"/>
          </w:tcPr>
          <w:p>
            <w:pPr>
              <w:numPr>
                <w:ilvl w:val="0"/>
                <w:numId w:val="0"/>
              </w:numPr>
              <w:spacing w:line="500" w:lineRule="exact"/>
              <w:rPr>
                <w:rFonts w:hint="default"/>
                <w:lang w:val="en-US" w:eastAsia="zh-CN"/>
              </w:rPr>
            </w:pPr>
            <w:r>
              <w:rPr>
                <w:rFonts w:hint="eastAsia"/>
                <w:lang w:val="en-US" w:eastAsia="zh-CN"/>
              </w:rPr>
              <w:t>工期：</w:t>
            </w:r>
            <w:r>
              <w:rPr>
                <w:rFonts w:hint="eastAsia"/>
                <w:color w:val="auto"/>
                <w:lang w:val="en-US" w:eastAsia="zh-CN"/>
              </w:rPr>
              <w:t>3年</w:t>
            </w:r>
            <w:r>
              <w:rPr>
                <w:rFonts w:hint="eastAsia" w:ascii="宋体" w:hAnsi="宋体"/>
                <w:b w:val="0"/>
                <w:bCs/>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vAlign w:val="top"/>
          </w:tcPr>
          <w:p>
            <w:pPr>
              <w:numPr>
                <w:ilvl w:val="0"/>
                <w:numId w:val="0"/>
              </w:numPr>
              <w:spacing w:line="500" w:lineRule="exact"/>
              <w:jc w:val="both"/>
              <w:outlineLvl w:val="0"/>
              <w:rPr>
                <w:rFonts w:hint="eastAsia" w:ascii="Times New Roman" w:hAnsi="Times New Roman" w:eastAsia="宋体" w:cs="Times New Roman"/>
              </w:rPr>
            </w:pPr>
            <w:r>
              <w:rPr>
                <w:rFonts w:hint="eastAsia"/>
              </w:rPr>
              <w:t>（一）资质</w:t>
            </w:r>
            <w:r>
              <w:rPr>
                <w:rFonts w:hint="eastAsia"/>
                <w:lang w:val="en-US" w:eastAsia="zh-CN"/>
              </w:rPr>
              <w:t>要求</w:t>
            </w:r>
            <w:r>
              <w:rPr>
                <w:rFonts w:hint="eastAsia"/>
              </w:rPr>
              <w:t>：</w:t>
            </w:r>
            <w:r>
              <w:rPr>
                <w:rFonts w:hint="eastAsia" w:ascii="Times New Roman" w:hAnsi="Times New Roman" w:eastAsia="宋体" w:cs="Times New Roman"/>
                <w:lang w:val="en-US" w:eastAsia="zh-CN"/>
              </w:rPr>
              <w:t>竞价单位</w:t>
            </w:r>
            <w:r>
              <w:rPr>
                <w:rFonts w:hint="eastAsia" w:ascii="Times New Roman" w:hAnsi="Times New Roman" w:eastAsia="宋体" w:cs="Times New Roman"/>
              </w:rPr>
              <w:t>应是经国家工商行政管理部门登记注册，具有</w:t>
            </w:r>
            <w:r>
              <w:rPr>
                <w:rFonts w:hint="eastAsia" w:cs="Times New Roman"/>
                <w:lang w:eastAsia="zh-CN"/>
              </w:rPr>
              <w:t>中华人民共和国保险许可证并</w:t>
            </w:r>
            <w:r>
              <w:rPr>
                <w:rFonts w:hint="eastAsia" w:ascii="Times New Roman" w:hAnsi="Times New Roman" w:eastAsia="宋体" w:cs="Times New Roman"/>
              </w:rPr>
              <w:t>持有合法有效</w:t>
            </w:r>
            <w:r>
              <w:rPr>
                <w:rFonts w:hint="eastAsia" w:cs="Times New Roman"/>
                <w:lang w:eastAsia="zh-CN"/>
              </w:rPr>
              <w:t>的</w:t>
            </w:r>
            <w:r>
              <w:rPr>
                <w:rFonts w:hint="eastAsia" w:ascii="Times New Roman" w:hAnsi="Times New Roman" w:eastAsia="宋体" w:cs="Times New Roman"/>
              </w:rPr>
              <w:t>营业执照；</w:t>
            </w:r>
          </w:p>
          <w:p>
            <w:pPr>
              <w:spacing w:line="500" w:lineRule="exact"/>
              <w:jc w:val="left"/>
              <w:rPr>
                <w:rFonts w:hint="default"/>
                <w:lang w:val="en-US" w:eastAsia="zh-CN"/>
              </w:rPr>
            </w:pPr>
            <w:r>
              <w:rPr>
                <w:rFonts w:hint="eastAsia"/>
                <w:lang w:val="en-US" w:eastAsia="zh-CN"/>
              </w:rPr>
              <w:t>（二）资格要求</w:t>
            </w:r>
            <w:r>
              <w:rPr>
                <w:rFonts w:hint="eastAsia"/>
                <w:b/>
                <w:bCs/>
                <w:lang w:val="en-US" w:eastAsia="zh-CN"/>
              </w:rPr>
              <w:t>（应在竞价文件中进行响应，可统一以承诺函形式体现）</w:t>
            </w:r>
          </w:p>
          <w:p>
            <w:pPr>
              <w:spacing w:line="500" w:lineRule="exact"/>
              <w:jc w:val="left"/>
              <w:rPr>
                <w:rFonts w:hint="eastAsia"/>
              </w:rPr>
            </w:pPr>
            <w:r>
              <w:rPr>
                <w:rFonts w:hint="eastAsia"/>
              </w:rPr>
              <w:t>（1）具有良好的商业信誉；</w:t>
            </w:r>
          </w:p>
          <w:p>
            <w:pPr>
              <w:spacing w:line="500" w:lineRule="exact"/>
              <w:jc w:val="left"/>
              <w:rPr>
                <w:rFonts w:hint="eastAsia"/>
              </w:rPr>
            </w:pPr>
            <w:r>
              <w:rPr>
                <w:rFonts w:hint="eastAsia"/>
              </w:rPr>
              <w:t>（</w:t>
            </w:r>
            <w:r>
              <w:rPr>
                <w:rFonts w:hint="eastAsia"/>
                <w:lang w:val="en-US" w:eastAsia="zh-CN"/>
              </w:rPr>
              <w:t>2</w:t>
            </w:r>
            <w:r>
              <w:rPr>
                <w:rFonts w:hint="eastAsia"/>
              </w:rPr>
              <w:t>）具有履行合同所必需的</w:t>
            </w:r>
            <w:r>
              <w:rPr>
                <w:rFonts w:hint="eastAsia"/>
                <w:lang w:val="en-US" w:eastAsia="zh-CN"/>
              </w:rPr>
              <w:t>条件和</w:t>
            </w:r>
            <w:r>
              <w:rPr>
                <w:rFonts w:hint="eastAsia"/>
              </w:rPr>
              <w:t>能力；</w:t>
            </w:r>
          </w:p>
          <w:p>
            <w:pPr>
              <w:spacing w:line="500" w:lineRule="exact"/>
              <w:jc w:val="left"/>
              <w:rPr>
                <w:rFonts w:hint="eastAsia"/>
              </w:rPr>
            </w:pPr>
            <w:r>
              <w:rPr>
                <w:rFonts w:hint="eastAsia"/>
              </w:rPr>
              <w:t>（</w:t>
            </w:r>
            <w:r>
              <w:rPr>
                <w:rFonts w:hint="eastAsia"/>
                <w:lang w:val="en-US" w:eastAsia="zh-CN"/>
              </w:rPr>
              <w:t>3</w:t>
            </w:r>
            <w:r>
              <w:rPr>
                <w:rFonts w:hint="eastAsia"/>
              </w:rPr>
              <w:t>）有依法缴纳税收和社会保障资金的良好记录；</w:t>
            </w:r>
          </w:p>
          <w:p>
            <w:pPr>
              <w:spacing w:line="500" w:lineRule="exact"/>
              <w:jc w:val="left"/>
              <w:rPr>
                <w:rFonts w:hint="eastAsia"/>
                <w:lang w:eastAsia="zh-CN"/>
              </w:rPr>
            </w:pPr>
            <w:r>
              <w:rPr>
                <w:rFonts w:hint="eastAsia"/>
                <w:lang w:eastAsia="zh-CN"/>
              </w:rPr>
              <w:t>（</w:t>
            </w:r>
            <w:r>
              <w:rPr>
                <w:rFonts w:hint="eastAsia"/>
                <w:lang w:val="en-US" w:eastAsia="zh-CN"/>
              </w:rPr>
              <w:t>4</w:t>
            </w:r>
            <w:r>
              <w:rPr>
                <w:rFonts w:hint="eastAsia"/>
                <w:lang w:eastAsia="zh-CN"/>
              </w:rPr>
              <w:t>）参加本次竞价前三年内，在经营活动中没有重大违法记录；</w:t>
            </w:r>
          </w:p>
          <w:p>
            <w:pPr>
              <w:spacing w:line="500" w:lineRule="exact"/>
              <w:jc w:val="left"/>
              <w:rPr>
                <w:rFonts w:hint="eastAsia"/>
                <w:lang w:eastAsia="zh-CN"/>
              </w:rPr>
            </w:pPr>
            <w:r>
              <w:rPr>
                <w:rFonts w:hint="eastAsia"/>
              </w:rPr>
              <w:t>（</w:t>
            </w:r>
            <w:r>
              <w:rPr>
                <w:rFonts w:hint="eastAsia"/>
                <w:lang w:val="en-US" w:eastAsia="zh-CN"/>
              </w:rPr>
              <w:t>5</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pPr>
              <w:spacing w:line="500" w:lineRule="exact"/>
              <w:jc w:val="left"/>
              <w:rPr>
                <w:rFonts w:hint="default"/>
                <w:lang w:val="en-US" w:eastAsia="zh-CN"/>
              </w:rPr>
            </w:pPr>
            <w:r>
              <w:rPr>
                <w:rFonts w:hint="eastAsia"/>
                <w:lang w:eastAsia="zh-CN"/>
              </w:rPr>
              <w:t>（</w:t>
            </w:r>
            <w:r>
              <w:rPr>
                <w:rFonts w:hint="eastAsia"/>
                <w:lang w:val="en-US" w:eastAsia="zh-CN"/>
              </w:rPr>
              <w:t>6</w:t>
            </w:r>
            <w:r>
              <w:rPr>
                <w:rFonts w:hint="eastAsia"/>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335" w:type="dxa"/>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lang w:val="en-US" w:eastAsia="zh-CN"/>
              </w:rPr>
              <w:t>发布</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1</w:t>
            </w:r>
            <w:r>
              <w:rPr>
                <w:rFonts w:hint="eastAsia" w:ascii="宋体" w:hAnsi="宋体"/>
                <w:b/>
                <w:bCs w:val="0"/>
                <w:color w:val="000000"/>
                <w:szCs w:val="21"/>
              </w:rPr>
              <w:t>月</w:t>
            </w:r>
            <w:r>
              <w:rPr>
                <w:rFonts w:hint="eastAsia" w:ascii="宋体" w:hAnsi="宋体"/>
                <w:b/>
                <w:bCs w:val="0"/>
                <w:color w:val="000000"/>
                <w:szCs w:val="21"/>
                <w:lang w:val="en-US" w:eastAsia="zh-CN"/>
              </w:rPr>
              <w:t>9</w:t>
            </w:r>
            <w:r>
              <w:rPr>
                <w:rFonts w:hint="eastAsia" w:ascii="宋体" w:hAnsi="宋体"/>
                <w:b/>
                <w:bCs w:val="0"/>
                <w:color w:val="000000"/>
                <w:szCs w:val="21"/>
              </w:rPr>
              <w:t>日—</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1</w:t>
            </w:r>
            <w:r>
              <w:rPr>
                <w:rFonts w:hint="eastAsia" w:ascii="宋体" w:hAnsi="宋体"/>
                <w:b/>
                <w:bCs w:val="0"/>
                <w:color w:val="000000"/>
                <w:szCs w:val="21"/>
              </w:rPr>
              <w:t>月</w:t>
            </w:r>
            <w:r>
              <w:rPr>
                <w:rFonts w:hint="eastAsia" w:ascii="宋体" w:hAnsi="宋体"/>
                <w:b/>
                <w:bCs w:val="0"/>
                <w:color w:val="000000"/>
                <w:szCs w:val="21"/>
                <w:lang w:val="en-US" w:eastAsia="zh-CN"/>
              </w:rPr>
              <w:t>11</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vAlign w:val="top"/>
          </w:tcPr>
          <w:p>
            <w:pPr>
              <w:tabs>
                <w:tab w:val="left" w:pos="458"/>
              </w:tabs>
              <w:ind w:firstLine="210" w:firstLineChars="100"/>
              <w:rPr>
                <w:rFonts w:ascii="宋体" w:hAnsi="宋体"/>
                <w:b/>
                <w:bCs w:val="0"/>
                <w:color w:val="auto"/>
                <w:szCs w:val="21"/>
              </w:rPr>
            </w:pPr>
            <w:r>
              <w:rPr>
                <w:rFonts w:hint="eastAsia" w:ascii="宋体" w:hAnsi="宋体"/>
                <w:b w:val="0"/>
                <w:bCs/>
                <w:color w:val="000000"/>
                <w:szCs w:val="21"/>
              </w:rPr>
              <w:t>1.</w:t>
            </w:r>
            <w:r>
              <w:rPr>
                <w:rFonts w:hint="eastAsia" w:ascii="宋体" w:hAnsi="宋体" w:eastAsia="宋体" w:cs="宋体"/>
                <w:b/>
                <w:bCs/>
                <w:color w:val="000000"/>
                <w:sz w:val="21"/>
                <w:szCs w:val="21"/>
              </w:rPr>
              <w:t>最高限价（</w:t>
            </w:r>
            <w:r>
              <w:rPr>
                <w:rFonts w:hint="eastAsia" w:ascii="宋体" w:hAnsi="宋体" w:eastAsia="宋体" w:cs="宋体"/>
                <w:b/>
                <w:bCs/>
                <w:color w:val="FF0000"/>
                <w:sz w:val="21"/>
                <w:szCs w:val="21"/>
              </w:rPr>
              <w:t>含税</w:t>
            </w:r>
            <w:r>
              <w:rPr>
                <w:rFonts w:hint="eastAsia" w:ascii="宋体" w:hAnsi="宋体" w:eastAsia="宋体" w:cs="宋体"/>
                <w:b/>
                <w:bCs/>
                <w:color w:val="000000"/>
                <w:sz w:val="21"/>
                <w:szCs w:val="21"/>
              </w:rPr>
              <w:t>） ：</w:t>
            </w:r>
            <w:r>
              <w:rPr>
                <w:rFonts w:hint="eastAsia" w:ascii="宋体" w:hAnsi="宋体" w:eastAsia="宋体" w:cs="宋体"/>
                <w:b/>
                <w:bCs/>
                <w:color w:val="000000"/>
                <w:sz w:val="21"/>
                <w:szCs w:val="21"/>
                <w:u w:val="single"/>
                <w:lang w:val="en-US" w:eastAsia="zh-CN"/>
              </w:rPr>
              <w:t xml:space="preserve"> </w:t>
            </w:r>
            <w:r>
              <w:rPr>
                <w:rFonts w:hint="eastAsia" w:ascii="宋体" w:hAnsi="宋体" w:cs="宋体"/>
                <w:b/>
                <w:bCs/>
                <w:color w:val="000000"/>
                <w:sz w:val="21"/>
                <w:szCs w:val="21"/>
                <w:u w:val="single"/>
                <w:lang w:val="en-US" w:eastAsia="zh-CN"/>
              </w:rPr>
              <w:t>136000</w:t>
            </w:r>
            <w:r>
              <w:rPr>
                <w:rFonts w:hint="eastAsia" w:ascii="宋体" w:hAnsi="宋体" w:eastAsia="宋体" w:cs="宋体"/>
                <w:b/>
                <w:bCs/>
                <w:color w:val="FF0000"/>
                <w:sz w:val="21"/>
                <w:szCs w:val="21"/>
                <w:u w:val="single"/>
                <w:lang w:val="en-US" w:eastAsia="zh-CN"/>
              </w:rPr>
              <w:t xml:space="preserve">元 </w:t>
            </w:r>
            <w:r>
              <w:rPr>
                <w:rFonts w:hint="eastAsia" w:ascii="宋体" w:hAnsi="宋体" w:cs="宋体"/>
                <w:b/>
                <w:bCs/>
                <w:color w:val="000000"/>
                <w:sz w:val="21"/>
                <w:szCs w:val="21"/>
                <w:u w:val="none"/>
                <w:lang w:val="en-US" w:eastAsia="zh-CN"/>
              </w:rPr>
              <w:t>。税率：</w:t>
            </w:r>
            <w:r>
              <w:rPr>
                <w:rFonts w:hint="eastAsia" w:ascii="宋体" w:hAnsi="宋体" w:cs="宋体"/>
                <w:b/>
                <w:bCs/>
                <w:color w:val="FF0000"/>
                <w:sz w:val="21"/>
                <w:szCs w:val="21"/>
                <w:u w:val="single"/>
                <w:lang w:val="en-US" w:eastAsia="zh-CN"/>
              </w:rPr>
              <w:t>6%</w:t>
            </w:r>
            <w:r>
              <w:rPr>
                <w:rFonts w:hint="eastAsia" w:ascii="宋体" w:hAnsi="宋体" w:cs="宋体"/>
                <w:b/>
                <w:bCs/>
                <w:color w:val="000000"/>
                <w:sz w:val="21"/>
                <w:szCs w:val="21"/>
                <w:u w:val="none"/>
                <w:lang w:val="en-US" w:eastAsia="zh-CN"/>
              </w:rPr>
              <w:t>。竞价单位</w:t>
            </w:r>
            <w:r>
              <w:rPr>
                <w:rFonts w:hint="eastAsia" w:ascii="宋体" w:hAnsi="宋体"/>
                <w:b/>
                <w:bCs w:val="0"/>
                <w:color w:val="000000"/>
                <w:szCs w:val="21"/>
              </w:rPr>
              <w:t>自主报价，</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w:t>
            </w:r>
            <w:r>
              <w:rPr>
                <w:rFonts w:hint="eastAsia" w:ascii="宋体" w:hAnsi="宋体" w:cs="宋体"/>
                <w:b/>
                <w:bCs/>
                <w:color w:val="000000"/>
                <w:sz w:val="21"/>
                <w:szCs w:val="21"/>
                <w:u w:val="none"/>
                <w:lang w:val="en-US" w:eastAsia="zh-CN"/>
              </w:rPr>
              <w:t>竞价单位</w:t>
            </w:r>
            <w:r>
              <w:rPr>
                <w:rFonts w:hint="eastAsia" w:ascii="宋体" w:hAnsi="宋体"/>
                <w:b/>
                <w:bCs w:val="0"/>
                <w:color w:val="auto"/>
                <w:szCs w:val="21"/>
              </w:rPr>
              <w:t>在报价时应慎重考虑</w:t>
            </w:r>
            <w:r>
              <w:rPr>
                <w:rFonts w:hint="eastAsia" w:ascii="宋体" w:hAnsi="宋体"/>
                <w:b/>
                <w:bCs w:val="0"/>
                <w:color w:val="auto"/>
                <w:szCs w:val="21"/>
                <w:lang w:eastAsia="zh-CN"/>
              </w:rPr>
              <w:t>，超过控制价将视为无效文件</w:t>
            </w:r>
            <w:r>
              <w:rPr>
                <w:rFonts w:hint="eastAsia" w:ascii="宋体" w:hAnsi="宋体"/>
                <w:b/>
                <w:bCs w:val="0"/>
                <w:color w:val="auto"/>
                <w:szCs w:val="21"/>
              </w:rPr>
              <w:t>。</w:t>
            </w:r>
            <w:r>
              <w:rPr>
                <w:rFonts w:hint="eastAsia" w:ascii="宋体" w:hAnsi="宋体" w:cs="宋体"/>
                <w:b/>
                <w:bCs/>
                <w:color w:val="000000"/>
                <w:sz w:val="21"/>
                <w:szCs w:val="21"/>
                <w:u w:val="none"/>
                <w:lang w:val="en-US" w:eastAsia="zh-CN"/>
              </w:rPr>
              <w:t>竞价单位</w:t>
            </w:r>
            <w:r>
              <w:rPr>
                <w:rFonts w:hint="eastAsia" w:ascii="宋体" w:hAnsi="宋体"/>
                <w:b/>
                <w:bCs w:val="0"/>
                <w:color w:val="auto"/>
                <w:szCs w:val="21"/>
                <w:lang w:val="en-US" w:eastAsia="zh-CN"/>
              </w:rPr>
              <w:t>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cs="宋体"/>
                <w:b/>
                <w:bCs/>
                <w:color w:val="000000"/>
                <w:sz w:val="21"/>
                <w:szCs w:val="21"/>
                <w:u w:val="none"/>
                <w:lang w:val="en-US" w:eastAsia="zh-CN"/>
              </w:rPr>
              <w:t>竞价单位</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竞价响应函；2、报价函及采购清单；3、法定代表人（或负责人）身份证明或授权委托书；4、承诺函；5、类似业绩证明；6、竞价单位认为需要提交的其他文件。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vAlign w:val="top"/>
          </w:tcPr>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，报价包含资料费、保险费、管理费、利润、税费、风险等全部费用，在整个保险期内均不调整单价，具体金额以中标金额为准。</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负责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pPr>
              <w:spacing w:line="500" w:lineRule="exact"/>
              <w:rPr>
                <w:rFonts w:hint="default"/>
                <w:lang w:val="en-US"/>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截止（开标）</w:t>
            </w:r>
            <w:r>
              <w:rPr>
                <w:rFonts w:hint="eastAsia"/>
              </w:rPr>
              <w:t>时间：</w:t>
            </w:r>
            <w:r>
              <w:rPr>
                <w:rFonts w:hint="eastAsia"/>
                <w:lang w:val="en-US" w:eastAsia="zh-CN"/>
              </w:rPr>
              <w:t>2024</w:t>
            </w:r>
            <w:r>
              <w:rPr>
                <w:rFonts w:hint="eastAsia"/>
              </w:rPr>
              <w:t>年</w:t>
            </w:r>
            <w:r>
              <w:rPr>
                <w:rFonts w:hint="eastAsia"/>
                <w:lang w:val="en-US" w:eastAsia="zh-CN"/>
              </w:rPr>
              <w:t>1</w:t>
            </w:r>
            <w:r>
              <w:rPr>
                <w:rFonts w:hint="eastAsia"/>
              </w:rPr>
              <w:t>月</w:t>
            </w:r>
            <w:r>
              <w:rPr>
                <w:rFonts w:hint="eastAsia"/>
                <w:lang w:val="en-US" w:eastAsia="zh-CN"/>
              </w:rPr>
              <w:t>12</w:t>
            </w:r>
            <w:r>
              <w:rPr>
                <w:rFonts w:hint="eastAsia"/>
              </w:rPr>
              <w:t>日</w:t>
            </w:r>
            <w:r>
              <w:rPr>
                <w:rFonts w:hint="eastAsia"/>
                <w:lang w:val="en-US" w:eastAsia="zh-CN"/>
              </w:rPr>
              <w:t>9</w:t>
            </w:r>
            <w:r>
              <w:rPr>
                <w:rFonts w:hint="eastAsia"/>
              </w:rPr>
              <w:t>时</w:t>
            </w:r>
            <w:r>
              <w:rPr>
                <w:rFonts w:hint="eastAsia"/>
                <w:lang w:val="en-US" w:eastAsia="zh-CN"/>
              </w:rPr>
              <w:t>00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b/>
                <w:bCs/>
                <w:u w:val="single"/>
                <w:lang w:val="en-US" w:eastAsia="zh-CN"/>
              </w:rPr>
              <w:t>书面竞价</w:t>
            </w:r>
            <w:r>
              <w:rPr>
                <w:rFonts w:hint="eastAsia"/>
                <w:lang w:val="en-US" w:eastAsia="zh-CN"/>
              </w:rPr>
              <w:t>。</w:t>
            </w:r>
          </w:p>
          <w:p>
            <w:pPr>
              <w:numPr>
                <w:ilvl w:val="0"/>
                <w:numId w:val="0"/>
              </w:numPr>
              <w:rPr>
                <w:rFonts w:hint="default"/>
                <w:lang w:val="en-US"/>
              </w:rPr>
            </w:pPr>
            <w:r>
              <w:rPr>
                <w:rFonts w:hint="default"/>
                <w:lang w:val="en-US" w:eastAsia="zh-CN"/>
              </w:rPr>
              <w:t>①</w:t>
            </w:r>
            <w:r>
              <w:rPr>
                <w:rFonts w:hint="eastAsia"/>
                <w:b/>
                <w:bCs/>
                <w:lang w:val="en-US" w:eastAsia="zh-CN"/>
              </w:rPr>
              <w:t>书面竞价：</w:t>
            </w:r>
            <w:r>
              <w:rPr>
                <w:rFonts w:hint="eastAsia"/>
                <w:lang w:val="en-US" w:eastAsia="zh-CN"/>
              </w:rPr>
              <w:t>在递交截止时间前通过</w:t>
            </w:r>
            <w:r>
              <w:rPr>
                <w:rFonts w:hint="eastAsia"/>
                <w:u w:val="single"/>
                <w:lang w:val="en-US" w:eastAsia="zh-CN"/>
              </w:rPr>
              <w:t>现场递交</w:t>
            </w:r>
            <w:r>
              <w:rPr>
                <w:rFonts w:hint="eastAsia"/>
                <w:lang w:val="en-US" w:eastAsia="zh-CN"/>
              </w:rPr>
              <w:t>方式递交：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后现场递交至</w:t>
            </w:r>
            <w:r>
              <w:rPr>
                <w:rFonts w:hint="eastAsia"/>
              </w:rPr>
              <w:t>：雅安城投工匠建设工程有限公司</w:t>
            </w:r>
            <w:r>
              <w:rPr>
                <w:rFonts w:hint="eastAsia"/>
                <w:lang w:eastAsia="zh-CN"/>
              </w:rPr>
              <w:t>，</w:t>
            </w:r>
            <w:r>
              <w:rPr>
                <w:rFonts w:hint="eastAsia" w:ascii="Times New Roman" w:hAnsi="Times New Roman" w:eastAsia="宋体" w:cs="Times New Roman"/>
              </w:rPr>
              <w:t>地</w:t>
            </w:r>
            <w:r>
              <w:rPr>
                <w:rFonts w:hint="eastAsia"/>
              </w:rPr>
              <w:t>址：</w:t>
            </w:r>
            <w:r>
              <w:rPr>
                <w:rFonts w:hint="eastAsia"/>
                <w:lang w:eastAsia="zh-CN"/>
              </w:rPr>
              <w:t>雅安市雨城区北环东路</w:t>
            </w:r>
            <w:r>
              <w:rPr>
                <w:rFonts w:hint="eastAsia"/>
                <w:lang w:val="en-US" w:eastAsia="zh-CN"/>
              </w:rPr>
              <w:t>100号，收件人：</w:t>
            </w:r>
            <w:r>
              <w:rPr>
                <w:rFonts w:hint="eastAsia"/>
                <w:u w:val="single"/>
                <w:lang w:val="en-US" w:eastAsia="zh-CN"/>
              </w:rPr>
              <w:t>张先生</w:t>
            </w:r>
            <w:r>
              <w:rPr>
                <w:rFonts w:hint="eastAsia"/>
                <w:lang w:val="en-US" w:eastAsia="zh-CN"/>
              </w:rPr>
              <w:t>，电话：</w:t>
            </w:r>
            <w:r>
              <w:rPr>
                <w:rFonts w:hint="eastAsia"/>
                <w:u w:val="single"/>
                <w:lang w:val="en-US" w:eastAsia="zh-CN"/>
              </w:rPr>
              <w:t>13402843341</w:t>
            </w:r>
            <w:r>
              <w:rPr>
                <w:rFonts w:hint="eastAsia"/>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vAlign w:val="top"/>
          </w:tcPr>
          <w:p>
            <w:pPr>
              <w:rPr>
                <w:rFonts w:hint="eastAsia" w:ascii="宋体" w:hAnsi="宋体" w:eastAsia="宋体"/>
                <w:b w:val="0"/>
                <w:bCs/>
                <w:color w:val="000000"/>
                <w:szCs w:val="21"/>
                <w:lang w:val="en-US" w:eastAsia="zh-CN"/>
              </w:rPr>
            </w:pPr>
            <w:r>
              <w:rPr>
                <w:rFonts w:hint="eastAsia" w:ascii="宋体" w:hAnsi="宋体" w:cs="Times New Roman"/>
                <w:b w:val="0"/>
                <w:bCs/>
                <w:color w:val="000000"/>
                <w:szCs w:val="21"/>
                <w:lang w:val="en-US" w:eastAsia="zh-CN"/>
              </w:rPr>
              <w:t>发出中选通知书后，15日内支付保险费用，2日内中选人出具生效保单。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可重新招标也可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w:t>
            </w:r>
            <w:r>
              <w:rPr>
                <w:rFonts w:hint="eastAsia" w:ascii="宋体" w:hAnsi="宋体"/>
                <w:b w:val="0"/>
                <w:bCs/>
                <w:color w:val="000000"/>
                <w:szCs w:val="21"/>
                <w:lang w:val="en-US" w:eastAsia="zh-CN"/>
              </w:rPr>
              <w:t>竞价单位</w:t>
            </w:r>
            <w:r>
              <w:rPr>
                <w:rFonts w:hint="eastAsia" w:ascii="宋体" w:hAnsi="宋体"/>
                <w:b w:val="0"/>
                <w:bCs/>
                <w:color w:val="000000"/>
                <w:szCs w:val="21"/>
              </w:rPr>
              <w:t>公开、公平、公正参与本次</w:t>
            </w:r>
            <w:r>
              <w:rPr>
                <w:rFonts w:hint="eastAsia" w:ascii="宋体" w:hAnsi="宋体"/>
                <w:b w:val="0"/>
                <w:bCs/>
                <w:color w:val="000000"/>
                <w:szCs w:val="21"/>
                <w:lang w:eastAsia="zh-CN"/>
              </w:rPr>
              <w:t>竞价</w:t>
            </w:r>
            <w:r>
              <w:rPr>
                <w:rFonts w:hint="eastAsia" w:ascii="宋体" w:hAnsi="宋体"/>
                <w:b w:val="0"/>
                <w:bCs/>
                <w:color w:val="000000"/>
                <w:szCs w:val="21"/>
              </w:rPr>
              <w:t>，</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4"/>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jc w:val="center"/>
        <w:rPr>
          <w:rFonts w:hint="eastAsia" w:ascii="黑体" w:hAnsi="黑体" w:eastAsia="黑体"/>
          <w:color w:val="000000"/>
          <w:sz w:val="36"/>
          <w:lang w:eastAsia="zh-CN"/>
        </w:rPr>
      </w:pPr>
      <w:r>
        <w:rPr>
          <w:rFonts w:hint="eastAsia" w:ascii="黑体" w:hAnsi="黑体" w:eastAsia="黑体"/>
          <w:color w:val="000000"/>
          <w:sz w:val="36"/>
          <w:lang w:eastAsia="zh-CN"/>
        </w:rPr>
        <w:t>采购名称：石棉县雅甘凉物流配送中心项目（一期）设计施工</w:t>
      </w:r>
    </w:p>
    <w:p>
      <w:pPr>
        <w:spacing w:line="360" w:lineRule="exact"/>
        <w:jc w:val="center"/>
        <w:rPr>
          <w:rFonts w:hint="eastAsia" w:ascii="黑体" w:hAnsi="黑体" w:eastAsia="黑体"/>
          <w:color w:val="000000"/>
          <w:sz w:val="36"/>
          <w:lang w:eastAsia="zh-CN"/>
        </w:rPr>
      </w:pPr>
      <w:r>
        <w:rPr>
          <w:rFonts w:hint="eastAsia" w:ascii="黑体" w:hAnsi="黑体" w:eastAsia="黑体"/>
          <w:color w:val="000000"/>
          <w:sz w:val="36"/>
          <w:lang w:val="en-US" w:eastAsia="zh-CN"/>
        </w:rPr>
        <w:t xml:space="preserve">          </w:t>
      </w:r>
      <w:r>
        <w:rPr>
          <w:rFonts w:hint="eastAsia" w:ascii="黑体" w:hAnsi="黑体" w:eastAsia="黑体"/>
          <w:color w:val="000000"/>
          <w:sz w:val="36"/>
          <w:lang w:eastAsia="zh-CN"/>
        </w:rPr>
        <w:t>总承包EPC标段和石棉县工业物流配送中心建设项</w:t>
      </w:r>
    </w:p>
    <w:p>
      <w:pPr>
        <w:spacing w:line="360" w:lineRule="exact"/>
        <w:jc w:val="center"/>
        <w:rPr>
          <w:rFonts w:hint="eastAsia" w:ascii="黑体" w:hAnsi="黑体" w:eastAsia="黑体"/>
          <w:bCs/>
          <w:color w:val="000000"/>
          <w:sz w:val="36"/>
          <w:szCs w:val="36"/>
          <w:u w:val="single"/>
          <w:lang w:val="en-US" w:eastAsia="zh-CN"/>
        </w:rPr>
      </w:pPr>
      <w:r>
        <w:rPr>
          <w:rFonts w:hint="eastAsia" w:ascii="黑体" w:hAnsi="黑体" w:eastAsia="黑体"/>
          <w:color w:val="000000"/>
          <w:sz w:val="36"/>
          <w:lang w:val="en-US" w:eastAsia="zh-CN"/>
        </w:rPr>
        <w:t xml:space="preserve">    </w:t>
      </w:r>
      <w:r>
        <w:rPr>
          <w:rFonts w:hint="eastAsia" w:ascii="黑体" w:hAnsi="黑体" w:eastAsia="黑体"/>
          <w:color w:val="000000"/>
          <w:sz w:val="36"/>
          <w:lang w:eastAsia="zh-CN"/>
        </w:rPr>
        <w:t>目土建劳务分包建筑工程雇主责任保险采购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w:t>
      </w:r>
      <w:r>
        <w:rPr>
          <w:rFonts w:hint="eastAsia" w:ascii="黑体" w:hAnsi="黑体" w:eastAsia="黑体"/>
          <w:color w:val="000000"/>
          <w:spacing w:val="-24"/>
          <w:sz w:val="36"/>
          <w:lang w:eastAsia="zh-CN"/>
        </w:rPr>
        <w:t>（或负责人）</w:t>
      </w:r>
      <w:r>
        <w:rPr>
          <w:rFonts w:hint="eastAsia" w:ascii="黑体" w:hAnsi="黑体" w:eastAsia="黑体"/>
          <w:color w:val="000000"/>
          <w:spacing w:val="-24"/>
          <w:sz w:val="36"/>
        </w:rPr>
        <w:t>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lang w:eastAsia="zh-CN"/>
        </w:rPr>
      </w:pPr>
      <w:r>
        <w:rPr>
          <w:rFonts w:hint="eastAsia" w:ascii="宋体" w:hAnsi="宋体"/>
          <w:color w:val="000000"/>
          <w:sz w:val="24"/>
        </w:rPr>
        <w:t>致：</w:t>
      </w:r>
      <w:r>
        <w:rPr>
          <w:rFonts w:hint="eastAsia" w:ascii="宋体" w:hAnsi="宋体"/>
          <w:color w:val="000000"/>
          <w:sz w:val="24"/>
          <w:u w:val="single"/>
          <w:lang w:eastAsia="zh-CN"/>
        </w:rPr>
        <w:t>雅安城投工匠建设工程有限公司</w:t>
      </w:r>
    </w:p>
    <w:p>
      <w:pPr>
        <w:spacing w:line="500" w:lineRule="exact"/>
        <w:ind w:firstLine="480" w:firstLineChars="200"/>
        <w:rPr>
          <w:rFonts w:ascii="宋体" w:hAnsi="宋体"/>
          <w:color w:val="000000"/>
          <w:sz w:val="24"/>
        </w:rPr>
      </w:pPr>
      <w:r>
        <w:rPr>
          <w:rFonts w:hint="eastAsia" w:ascii="宋体" w:hAnsi="宋体"/>
          <w:color w:val="000000"/>
          <w:sz w:val="24"/>
        </w:rPr>
        <w:t>根据贵公司发布的“</w:t>
      </w:r>
      <w:r>
        <w:rPr>
          <w:rFonts w:hint="eastAsia" w:ascii="宋体" w:hAnsi="宋体"/>
          <w:color w:val="FF0000"/>
          <w:kern w:val="0"/>
          <w:sz w:val="24"/>
          <w:u w:val="single"/>
          <w:lang w:val="en-US" w:eastAsia="zh-CN"/>
        </w:rPr>
        <w:t>XXX项目XXX采购（采购内容）</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（3）法定代表人（或负责人）身份证明或授权委托书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（5）类似业绩证明</w:t>
      </w:r>
    </w:p>
    <w:p>
      <w:pPr>
        <w:spacing w:line="500" w:lineRule="exact"/>
        <w:ind w:firstLine="240" w:firstLineChars="100"/>
        <w:rPr>
          <w:rFonts w:hint="eastAsia"/>
          <w:lang w:val="en-US" w:eastAsia="zh-CN"/>
        </w:rPr>
      </w:pPr>
      <w:r>
        <w:rPr>
          <w:rFonts w:hint="eastAsia" w:ascii="宋体" w:hAnsi="宋体"/>
          <w:color w:val="000000"/>
          <w:sz w:val="24"/>
          <w:lang w:val="en-US" w:eastAsia="zh-CN"/>
        </w:rPr>
        <w:t>（6）竞价单位认为需要提交的其他文件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我公司愿意接受采购人对我司清退处理等决定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10"/>
        <w:spacing w:line="360" w:lineRule="auto"/>
        <w:ind w:left="0" w:leftChars="0" w:firstLine="960" w:firstLineChars="400"/>
        <w:rPr>
          <w:rFonts w:hint="eastAsia" w:ascii="宋体" w:hAnsi="宋体" w:cs="宋体"/>
          <w:sz w:val="24"/>
          <w:lang w:val="en-US" w:eastAsia="zh-CN"/>
        </w:rPr>
      </w:pPr>
    </w:p>
    <w:p>
      <w:pPr>
        <w:pStyle w:val="10"/>
        <w:spacing w:line="360" w:lineRule="auto"/>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10"/>
        <w:spacing w:line="360" w:lineRule="auto"/>
        <w:ind w:firstLine="480"/>
        <w:rPr>
          <w:rFonts w:ascii="宋体" w:hAnsi="宋体" w:cs="宋体"/>
          <w:sz w:val="24"/>
        </w:rPr>
      </w:pPr>
      <w:r>
        <w:rPr>
          <w:rFonts w:hint="eastAsia" w:ascii="宋体" w:hAnsi="宋体" w:cs="宋体"/>
          <w:sz w:val="24"/>
        </w:rPr>
        <w:t>法定代表人</w:t>
      </w:r>
      <w:r>
        <w:rPr>
          <w:rFonts w:hint="eastAsia" w:ascii="宋体" w:hAnsi="宋体" w:cs="宋体"/>
          <w:sz w:val="24"/>
          <w:lang w:eastAsia="zh-CN"/>
        </w:rPr>
        <w:t>（或负责人）</w:t>
      </w:r>
      <w:r>
        <w:rPr>
          <w:rFonts w:hint="eastAsia" w:ascii="宋体" w:hAnsi="宋体" w:cs="宋体"/>
          <w:sz w:val="24"/>
        </w:rPr>
        <w:t>（签字或盖章）：        法人</w:t>
      </w:r>
      <w:r>
        <w:rPr>
          <w:rFonts w:hint="eastAsia" w:ascii="宋体" w:hAnsi="宋体" w:cs="宋体"/>
          <w:sz w:val="24"/>
          <w:lang w:eastAsia="zh-CN"/>
        </w:rPr>
        <w:t>（或负责人）</w:t>
      </w:r>
      <w:r>
        <w:rPr>
          <w:rFonts w:hint="eastAsia" w:ascii="宋体" w:hAnsi="宋体" w:cs="宋体"/>
          <w:sz w:val="24"/>
        </w:rPr>
        <w:t xml:space="preserve">手机：                  </w:t>
      </w:r>
    </w:p>
    <w:p>
      <w:pPr>
        <w:pStyle w:val="10"/>
        <w:spacing w:line="360" w:lineRule="auto"/>
        <w:ind w:firstLine="480"/>
        <w:rPr>
          <w:rFonts w:ascii="宋体" w:hAnsi="宋体" w:cs="宋体"/>
          <w:sz w:val="24"/>
        </w:rPr>
      </w:pPr>
      <w:r>
        <w:rPr>
          <w:rFonts w:hint="eastAsia" w:ascii="宋体" w:hAnsi="宋体" w:cs="宋体"/>
          <w:sz w:val="24"/>
        </w:rPr>
        <w:t xml:space="preserve">委托代理人（签字或盖章）：       </w:t>
      </w:r>
      <w:r>
        <w:rPr>
          <w:rFonts w:hint="eastAsia" w:ascii="宋体" w:hAnsi="宋体" w:cs="宋体"/>
          <w:sz w:val="24"/>
          <w:lang w:val="en-US" w:eastAsia="zh-CN"/>
        </w:rPr>
        <w:t xml:space="preserve">            </w:t>
      </w:r>
      <w:bookmarkStart w:id="14" w:name="_GoBack"/>
      <w:bookmarkEnd w:id="14"/>
      <w:r>
        <w:rPr>
          <w:rFonts w:hint="eastAsia" w:ascii="宋体" w:hAnsi="宋体" w:cs="宋体"/>
          <w:sz w:val="24"/>
        </w:rPr>
        <w:t xml:space="preserve"> 委托代理人手机： </w:t>
      </w:r>
    </w:p>
    <w:p>
      <w:pPr>
        <w:pStyle w:val="10"/>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10"/>
        <w:spacing w:line="360" w:lineRule="auto"/>
        <w:ind w:firstLine="482"/>
        <w:rPr>
          <w:rFonts w:hint="eastAsia" w:ascii="宋体" w:hAnsi="宋体"/>
          <w:color w:val="000000"/>
        </w:rPr>
      </w:pPr>
    </w:p>
    <w:p>
      <w:pPr>
        <w:pStyle w:val="10"/>
        <w:spacing w:line="360" w:lineRule="auto"/>
        <w:ind w:firstLine="482"/>
        <w:rPr>
          <w:rFonts w:hint="eastAsia" w:ascii="宋体" w:hAnsi="宋体"/>
          <w:color w:val="000000"/>
        </w:rPr>
      </w:pPr>
    </w:p>
    <w:p>
      <w:pPr>
        <w:pStyle w:val="10"/>
        <w:spacing w:line="360" w:lineRule="auto"/>
        <w:ind w:firstLine="482"/>
        <w:rPr>
          <w:rFonts w:hint="eastAsia" w:ascii="宋体" w:hAnsi="宋体"/>
          <w:color w:val="000000"/>
        </w:rPr>
      </w:pPr>
    </w:p>
    <w:p>
      <w:pPr>
        <w:pStyle w:val="10"/>
        <w:spacing w:line="360" w:lineRule="auto"/>
        <w:ind w:firstLine="482"/>
        <w:rPr>
          <w:rFonts w:hint="eastAsia" w:ascii="宋体" w:hAnsi="宋体"/>
          <w:color w:val="000000"/>
        </w:rPr>
      </w:pPr>
    </w:p>
    <w:p>
      <w:pPr>
        <w:pStyle w:val="10"/>
        <w:spacing w:line="360" w:lineRule="auto"/>
        <w:ind w:firstLine="482"/>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7"/>
        <w:spacing w:line="0" w:lineRule="atLeast"/>
        <w:ind w:firstLine="3064" w:firstLineChars="1090"/>
        <w:rPr>
          <w:rFonts w:hAnsi="宋体"/>
          <w:b/>
          <w:color w:val="000000"/>
          <w:sz w:val="28"/>
        </w:rPr>
      </w:pPr>
    </w:p>
    <w:p>
      <w:pPr>
        <w:adjustRightInd w:val="0"/>
        <w:snapToGrid w:val="0"/>
        <w:spacing w:line="360" w:lineRule="auto"/>
        <w:jc w:val="center"/>
        <w:rPr>
          <w:rFonts w:hint="eastAsia" w:ascii="黑体" w:hAnsi="宋体" w:eastAsia="黑体"/>
          <w:snapToGrid w:val="0"/>
          <w:kern w:val="0"/>
          <w:sz w:val="31"/>
          <w:szCs w:val="21"/>
        </w:rPr>
      </w:pPr>
      <w:bookmarkStart w:id="2" w:name="_Toc132523466"/>
      <w:bookmarkStart w:id="3" w:name="_Toc132265249"/>
      <w:bookmarkStart w:id="4" w:name="_Toc282613285"/>
      <w:bookmarkStart w:id="5" w:name="_Toc132111898"/>
      <w:bookmarkStart w:id="6" w:name="_Toc132523737"/>
      <w:bookmarkStart w:id="7" w:name="_Toc131305915"/>
    </w:p>
    <w:p>
      <w:pPr>
        <w:adjustRightInd w:val="0"/>
        <w:snapToGrid w:val="0"/>
        <w:spacing w:line="360" w:lineRule="auto"/>
        <w:jc w:val="center"/>
        <w:rPr>
          <w:rFonts w:ascii="黑体" w:hAnsi="宋体" w:eastAsia="黑体"/>
          <w:snapToGrid w:val="0"/>
          <w:kern w:val="0"/>
          <w:sz w:val="31"/>
          <w:szCs w:val="21"/>
        </w:rPr>
      </w:pPr>
      <w:r>
        <w:rPr>
          <w:rFonts w:hint="eastAsia" w:ascii="黑体" w:hAnsi="宋体" w:eastAsia="黑体"/>
          <w:snapToGrid w:val="0"/>
          <w:kern w:val="0"/>
          <w:sz w:val="31"/>
          <w:szCs w:val="21"/>
        </w:rPr>
        <w:t>报价函</w:t>
      </w:r>
    </w:p>
    <w:p>
      <w:pPr>
        <w:spacing w:line="500" w:lineRule="exact"/>
        <w:rPr>
          <w:rFonts w:ascii="宋体"/>
          <w:snapToGrid w:val="0"/>
          <w:kern w:val="0"/>
          <w:sz w:val="24"/>
        </w:rPr>
      </w:pPr>
      <w:r>
        <w:rPr>
          <w:rFonts w:hint="eastAsia" w:ascii="宋体" w:hAnsi="宋体"/>
          <w:color w:val="000000"/>
          <w:sz w:val="24"/>
          <w:u w:val="single"/>
          <w:lang w:eastAsia="zh-CN"/>
        </w:rPr>
        <w:t>雅安城投工匠建设工程有限公司：</w:t>
      </w: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FF0000"/>
          <w:kern w:val="0"/>
          <w:sz w:val="24"/>
          <w:u w:val="single"/>
          <w:lang w:val="en-US" w:eastAsia="zh-CN"/>
        </w:rPr>
        <w:t xml:space="preserve">XXX项目XXX采购（采购内容）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。承保期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3年</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w:t>
      </w:r>
      <w:r>
        <w:rPr>
          <w:rFonts w:hint="eastAsia" w:ascii="宋体" w:hAnsi="宋体"/>
          <w:snapToGrid w:val="0"/>
          <w:kern w:val="0"/>
          <w:sz w:val="24"/>
          <w:lang w:eastAsia="zh-CN"/>
        </w:rPr>
        <w:t>或保单</w:t>
      </w:r>
      <w:r>
        <w:rPr>
          <w:rFonts w:hint="eastAsia" w:ascii="宋体" w:hAnsi="宋体"/>
          <w:snapToGrid w:val="0"/>
          <w:kern w:val="0"/>
          <w:sz w:val="24"/>
        </w:rPr>
        <w:t>约定内容</w:t>
      </w:r>
      <w:r>
        <w:rPr>
          <w:rFonts w:hint="eastAsia" w:ascii="宋体" w:hAnsi="宋体"/>
          <w:snapToGrid w:val="0"/>
          <w:kern w:val="0"/>
          <w:sz w:val="24"/>
          <w:u w:val="none"/>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r>
        <w:rPr>
          <w:rFonts w:hint="eastAsia" w:ascii="宋体" w:hAnsi="宋体"/>
          <w:snapToGrid w:val="0"/>
          <w:kern w:val="0"/>
          <w:sz w:val="24"/>
          <w:lang w:eastAsia="zh-CN"/>
        </w:rPr>
        <w:t>或出具保单</w:t>
      </w:r>
      <w:r>
        <w:rPr>
          <w:rFonts w:hint="eastAsia" w:ascii="宋体" w:hAnsi="宋体"/>
          <w:snapToGrid w:val="0"/>
          <w:kern w:val="0"/>
          <w:sz w:val="24"/>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w:t>
      </w:r>
      <w:r>
        <w:rPr>
          <w:rFonts w:hint="eastAsia" w:ascii="宋体" w:hAnsi="宋体"/>
          <w:snapToGrid w:val="0"/>
          <w:kern w:val="0"/>
          <w:sz w:val="24"/>
          <w:lang w:eastAsia="zh-CN"/>
        </w:rPr>
        <w:t>按竞价资料和保单</w:t>
      </w:r>
      <w:r>
        <w:rPr>
          <w:rFonts w:hint="eastAsia" w:ascii="宋体" w:hAnsi="宋体"/>
          <w:snapToGrid w:val="0"/>
          <w:kern w:val="0"/>
          <w:sz w:val="24"/>
        </w:rPr>
        <w:t>约定的</w:t>
      </w:r>
      <w:r>
        <w:rPr>
          <w:rFonts w:hint="eastAsia" w:ascii="宋体" w:hAnsi="宋体"/>
          <w:snapToGrid w:val="0"/>
          <w:kern w:val="0"/>
          <w:sz w:val="24"/>
          <w:lang w:eastAsia="zh-CN"/>
        </w:rPr>
        <w:t>内容</w:t>
      </w:r>
      <w:r>
        <w:rPr>
          <w:rFonts w:hint="eastAsia" w:ascii="宋体" w:hAnsi="宋体"/>
          <w:snapToGrid w:val="0"/>
          <w:kern w:val="0"/>
          <w:sz w:val="24"/>
        </w:rPr>
        <w:t>完成</w:t>
      </w:r>
      <w:r>
        <w:rPr>
          <w:rFonts w:hint="eastAsia" w:ascii="宋体" w:hAnsi="宋体"/>
          <w:snapToGrid w:val="0"/>
          <w:kern w:val="0"/>
          <w:sz w:val="24"/>
          <w:lang w:eastAsia="zh-CN"/>
        </w:rPr>
        <w:t>承保、理赔事项</w:t>
      </w:r>
      <w:r>
        <w:rPr>
          <w:rFonts w:hint="eastAsia" w:ascii="宋体" w:hAnsi="宋体"/>
          <w:snapToGrid w:val="0"/>
          <w:kern w:val="0"/>
          <w:sz w:val="24"/>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w:t>
      </w:r>
      <w:r>
        <w:rPr>
          <w:rFonts w:hint="eastAsia" w:ascii="宋体" w:hAnsi="宋体" w:cs="宋体"/>
          <w:sz w:val="24"/>
          <w:lang w:eastAsia="zh-CN"/>
        </w:rPr>
        <w:t>（或负责人）</w:t>
      </w:r>
      <w:r>
        <w:rPr>
          <w:rFonts w:hint="eastAsia" w:ascii="宋体" w:hAnsi="宋体"/>
          <w:snapToGrid w:val="0"/>
          <w:kern w:val="0"/>
          <w:sz w:val="24"/>
        </w:rPr>
        <w:t>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4"/>
        <w:rPr>
          <w:rFonts w:hint="eastAsia"/>
          <w:lang w:val="en-US" w:eastAsia="zh-CN"/>
        </w:rPr>
      </w:pPr>
    </w:p>
    <w:p>
      <w:pPr>
        <w:pStyle w:val="4"/>
        <w:jc w:val="center"/>
        <w:rPr>
          <w:rFonts w:hint="eastAsia"/>
          <w:b/>
          <w:bCs/>
          <w:sz w:val="28"/>
          <w:szCs w:val="24"/>
          <w:lang w:val="en-US" w:eastAsia="zh-CN"/>
        </w:rPr>
      </w:pPr>
      <w:r>
        <w:rPr>
          <w:rFonts w:hint="eastAsia" w:ascii="宋体" w:hAnsi="宋体"/>
          <w:b/>
          <w:bCs/>
          <w:color w:val="000000"/>
          <w:sz w:val="36"/>
          <w:szCs w:val="24"/>
          <w:lang w:val="en-US" w:eastAsia="zh-CN"/>
        </w:rPr>
        <w:t>石棉县雅甘凉物流配送中心项目（一期）设计施工总承包EPC标段和石棉县工业物流配送中心建设项目土建劳务分包建筑工程雇主责任保险采购清单</w:t>
      </w:r>
    </w:p>
    <w:p>
      <w:pPr>
        <w:pStyle w:val="4"/>
        <w:rPr>
          <w:rFonts w:hint="eastAsia"/>
          <w:lang w:val="en-US" w:eastAsia="zh-CN"/>
        </w:rPr>
      </w:pPr>
    </w:p>
    <w:tbl>
      <w:tblPr>
        <w:tblStyle w:val="11"/>
        <w:tblpPr w:leftFromText="180" w:rightFromText="180" w:vertAnchor="text" w:horzAnchor="page" w:tblpX="1108" w:tblpY="218"/>
        <w:tblOverlap w:val="never"/>
        <w:tblW w:w="100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09"/>
        <w:gridCol w:w="3169"/>
        <w:gridCol w:w="1500"/>
        <w:gridCol w:w="1267"/>
        <w:gridCol w:w="1023"/>
        <w:gridCol w:w="1032"/>
        <w:gridCol w:w="12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5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overflowPunct/>
              <w:topLinePunct w:val="0"/>
              <w:autoSpaceDE/>
              <w:autoSpaceDN/>
              <w:bidi w:val="0"/>
              <w:adjustRightInd/>
              <w:snapToGrid/>
              <w:spacing w:line="560" w:lineRule="exact"/>
              <w:jc w:val="center"/>
              <w:textAlignment w:val="center"/>
              <w:rPr>
                <w:rFonts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序号</w:t>
            </w:r>
          </w:p>
        </w:tc>
        <w:tc>
          <w:tcPr>
            <w:tcW w:w="3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overflowPunct/>
              <w:topLinePunct w:val="0"/>
              <w:autoSpaceDE/>
              <w:autoSpaceDN/>
              <w:bidi w:val="0"/>
              <w:adjustRightInd/>
              <w:snapToGrid/>
              <w:spacing w:line="5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保险项目及要求</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overflowPunct/>
              <w:topLinePunct w:val="0"/>
              <w:autoSpaceDE/>
              <w:autoSpaceDN/>
              <w:bidi w:val="0"/>
              <w:adjustRightInd/>
              <w:snapToGrid/>
              <w:spacing w:line="56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含税控制价（元）（税率按6%计）</w:t>
            </w:r>
          </w:p>
        </w:tc>
        <w:tc>
          <w:tcPr>
            <w:tcW w:w="1267"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overflowPunct/>
              <w:topLinePunct w:val="0"/>
              <w:autoSpaceDE/>
              <w:autoSpaceDN/>
              <w:bidi w:val="0"/>
              <w:adjustRightInd/>
              <w:snapToGrid/>
              <w:spacing w:line="56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不含税报价（元）</w:t>
            </w:r>
          </w:p>
        </w:tc>
        <w:tc>
          <w:tcPr>
            <w:tcW w:w="1023"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overflowPunct/>
              <w:topLinePunct w:val="0"/>
              <w:autoSpaceDE/>
              <w:autoSpaceDN/>
              <w:bidi w:val="0"/>
              <w:adjustRightInd/>
              <w:snapToGrid/>
              <w:spacing w:line="56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税率（%）</w:t>
            </w:r>
          </w:p>
        </w:tc>
        <w:tc>
          <w:tcPr>
            <w:tcW w:w="103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overflowPunct/>
              <w:topLinePunct w:val="0"/>
              <w:autoSpaceDE/>
              <w:autoSpaceDN/>
              <w:bidi w:val="0"/>
              <w:adjustRightInd/>
              <w:snapToGrid/>
              <w:spacing w:line="56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含税报价（元）</w:t>
            </w:r>
          </w:p>
        </w:tc>
        <w:tc>
          <w:tcPr>
            <w:tcW w:w="1206"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overflowPunct/>
              <w:topLinePunct w:val="0"/>
              <w:autoSpaceDE/>
              <w:autoSpaceDN/>
              <w:bidi w:val="0"/>
              <w:adjustRightInd/>
              <w:snapToGrid/>
              <w:spacing w:line="560" w:lineRule="exact"/>
              <w:jc w:val="center"/>
              <w:textAlignment w:val="center"/>
              <w:rPr>
                <w:rFonts w:hint="eastAsia" w:ascii="仿宋" w:hAnsi="仿宋" w:eastAsia="仿宋" w:cs="仿宋"/>
                <w:i w:val="0"/>
                <w:iCs w:val="0"/>
                <w:color w:val="000000"/>
                <w:kern w:val="2"/>
                <w:sz w:val="28"/>
                <w:szCs w:val="28"/>
                <w:u w:val="none"/>
                <w:lang w:val="en-US" w:eastAsia="zh-CN" w:bidi="ar-SA"/>
              </w:rPr>
            </w:pPr>
            <w:r>
              <w:rPr>
                <w:rFonts w:hint="eastAsia" w:ascii="仿宋" w:hAnsi="仿宋" w:eastAsia="仿宋" w:cs="仿宋"/>
                <w:i w:val="0"/>
                <w:iCs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6"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overflowPunct/>
              <w:topLinePunct w:val="0"/>
              <w:autoSpaceDE/>
              <w:autoSpaceDN/>
              <w:bidi w:val="0"/>
              <w:adjustRightInd/>
              <w:snapToGrid/>
              <w:spacing w:line="560" w:lineRule="exact"/>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3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overflowPunct/>
              <w:topLinePunct w:val="0"/>
              <w:autoSpaceDE/>
              <w:autoSpaceDN/>
              <w:bidi w:val="0"/>
              <w:adjustRightInd/>
              <w:snapToGrid/>
              <w:spacing w:line="560" w:lineRule="exact"/>
              <w:jc w:val="center"/>
              <w:textAlignment w:val="center"/>
              <w:rPr>
                <w:rFonts w:hint="eastAsia" w:ascii="仿宋" w:hAnsi="仿宋" w:eastAsia="仿宋" w:cs="仿宋"/>
                <w:i w:val="0"/>
                <w:iCs w:val="0"/>
                <w:color w:val="000000"/>
                <w:sz w:val="21"/>
                <w:szCs w:val="21"/>
                <w:u w:val="none"/>
                <w:lang w:eastAsia="zh-CN"/>
              </w:rPr>
            </w:pPr>
            <w:r>
              <w:rPr>
                <w:rFonts w:hint="default" w:ascii="仿宋" w:hAnsi="仿宋" w:eastAsia="仿宋" w:cs="仿宋"/>
                <w:i w:val="0"/>
                <w:iCs w:val="0"/>
                <w:color w:val="000000"/>
                <w:sz w:val="21"/>
                <w:szCs w:val="21"/>
                <w:u w:val="none"/>
                <w:lang w:val="en-US"/>
              </w:rPr>
              <w:t>石棉县雅甘凉物流配送中心项目（一期）设计施工总承包EPC标段和石棉县工业物流配送中心建设项目土建劳务分包建筑工程雇主责任保险</w:t>
            </w:r>
            <w:r>
              <w:rPr>
                <w:rFonts w:hint="eastAsia" w:ascii="仿宋" w:hAnsi="仿宋" w:eastAsia="仿宋" w:cs="仿宋"/>
                <w:i w:val="0"/>
                <w:iCs w:val="0"/>
                <w:color w:val="000000"/>
                <w:sz w:val="21"/>
                <w:szCs w:val="21"/>
                <w:u w:val="none"/>
                <w:lang w:val="en-US" w:eastAsia="zh-CN"/>
              </w:rPr>
              <w:t>（施工合同暂定金额14925000元）</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overflowPunct/>
              <w:topLinePunct w:val="0"/>
              <w:autoSpaceDE/>
              <w:autoSpaceDN/>
              <w:bidi w:val="0"/>
              <w:adjustRightInd/>
              <w:snapToGrid/>
              <w:spacing w:line="560" w:lineRule="exact"/>
              <w:jc w:val="center"/>
              <w:textAlignment w:val="center"/>
              <w:rPr>
                <w:rFonts w:hint="default"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136000</w:t>
            </w:r>
          </w:p>
        </w:tc>
        <w:tc>
          <w:tcPr>
            <w:tcW w:w="1267"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overflowPunct/>
              <w:topLinePunct w:val="0"/>
              <w:autoSpaceDE/>
              <w:autoSpaceDN/>
              <w:bidi w:val="0"/>
              <w:adjustRightInd/>
              <w:snapToGrid/>
              <w:spacing w:line="560" w:lineRule="exact"/>
              <w:jc w:val="center"/>
              <w:textAlignment w:val="center"/>
              <w:rPr>
                <w:rFonts w:hint="eastAsia" w:ascii="仿宋" w:hAnsi="仿宋" w:eastAsia="仿宋" w:cs="仿宋"/>
                <w:i w:val="0"/>
                <w:iCs w:val="0"/>
                <w:color w:val="000000"/>
                <w:sz w:val="21"/>
                <w:szCs w:val="21"/>
                <w:u w:val="none"/>
              </w:rPr>
            </w:pPr>
          </w:p>
        </w:tc>
        <w:tc>
          <w:tcPr>
            <w:tcW w:w="1023"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overflowPunct/>
              <w:topLinePunct w:val="0"/>
              <w:autoSpaceDE/>
              <w:autoSpaceDN/>
              <w:bidi w:val="0"/>
              <w:adjustRightInd/>
              <w:snapToGrid/>
              <w:spacing w:line="560" w:lineRule="exact"/>
              <w:jc w:val="center"/>
              <w:textAlignment w:val="center"/>
              <w:rPr>
                <w:rFonts w:hint="eastAsia" w:ascii="仿宋" w:hAnsi="仿宋" w:eastAsia="仿宋" w:cs="仿宋"/>
                <w:i w:val="0"/>
                <w:iCs w:val="0"/>
                <w:color w:val="000000"/>
                <w:sz w:val="21"/>
                <w:szCs w:val="21"/>
                <w:u w:val="none"/>
              </w:rPr>
            </w:pPr>
          </w:p>
        </w:tc>
        <w:tc>
          <w:tcPr>
            <w:tcW w:w="103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pageBreakBefore w:val="0"/>
              <w:numPr>
                <w:ilvl w:val="0"/>
                <w:numId w:val="0"/>
              </w:numPr>
              <w:kinsoku/>
              <w:overflowPunct/>
              <w:topLinePunct w:val="0"/>
              <w:autoSpaceDE/>
              <w:autoSpaceDN/>
              <w:bidi w:val="0"/>
              <w:adjustRightInd/>
              <w:snapToGrid/>
              <w:spacing w:line="560" w:lineRule="exact"/>
              <w:jc w:val="both"/>
              <w:rPr>
                <w:rFonts w:hint="eastAsia" w:ascii="仿宋" w:hAnsi="仿宋" w:eastAsia="仿宋" w:cs="仿宋"/>
                <w:i w:val="0"/>
                <w:iCs w:val="0"/>
                <w:color w:val="000000"/>
                <w:sz w:val="21"/>
                <w:szCs w:val="21"/>
                <w:u w:val="none"/>
                <w:lang w:eastAsia="zh-CN"/>
              </w:rPr>
            </w:pPr>
          </w:p>
        </w:tc>
        <w:tc>
          <w:tcPr>
            <w:tcW w:w="1206"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pageBreakBefore w:val="0"/>
              <w:numPr>
                <w:ilvl w:val="0"/>
                <w:numId w:val="0"/>
              </w:numPr>
              <w:kinsoku/>
              <w:overflowPunct/>
              <w:topLinePunct w:val="0"/>
              <w:autoSpaceDE/>
              <w:autoSpaceDN/>
              <w:bidi w:val="0"/>
              <w:adjustRightInd/>
              <w:snapToGrid/>
              <w:spacing w:line="560" w:lineRule="exact"/>
              <w:jc w:val="both"/>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eastAsia="zh-CN"/>
              </w:rPr>
              <w:t>承保期</w:t>
            </w:r>
            <w:r>
              <w:rPr>
                <w:rFonts w:hint="eastAsia" w:ascii="仿宋" w:hAnsi="仿宋" w:eastAsia="仿宋" w:cs="仿宋"/>
                <w:i w:val="0"/>
                <w:iCs w:val="0"/>
                <w:color w:val="000000"/>
                <w:sz w:val="21"/>
                <w:szCs w:val="21"/>
                <w:u w:val="none"/>
                <w:lang w:val="en-US" w:eastAsia="zh-CN"/>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6" w:hRule="atLeast"/>
        </w:trPr>
        <w:tc>
          <w:tcPr>
            <w:tcW w:w="1000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overflowPunct/>
              <w:topLinePunct w:val="0"/>
              <w:autoSpaceDE/>
              <w:autoSpaceDN/>
              <w:bidi w:val="0"/>
              <w:adjustRightInd/>
              <w:snapToGrid/>
              <w:spacing w:line="560" w:lineRule="exact"/>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竞价单位名称（盖公章）：</w:t>
            </w:r>
          </w:p>
          <w:p>
            <w:pPr>
              <w:keepNext w:val="0"/>
              <w:keepLines w:val="0"/>
              <w:pageBreakBefore w:val="0"/>
              <w:kinsoku/>
              <w:overflowPunct/>
              <w:topLinePunct w:val="0"/>
              <w:autoSpaceDE/>
              <w:autoSpaceDN/>
              <w:bidi w:val="0"/>
              <w:adjustRightInd/>
              <w:snapToGrid/>
              <w:spacing w:line="560" w:lineRule="exact"/>
              <w:jc w:val="center"/>
              <w:rPr>
                <w:rFonts w:hint="eastAsia" w:ascii="仿宋" w:hAnsi="仿宋" w:eastAsia="仿宋" w:cs="仿宋"/>
                <w:i w:val="0"/>
                <w:iCs w:val="0"/>
                <w:color w:val="000000"/>
                <w:sz w:val="28"/>
                <w:szCs w:val="28"/>
                <w:u w:val="none"/>
              </w:rPr>
            </w:pPr>
          </w:p>
        </w:tc>
      </w:tr>
    </w:tbl>
    <w:p>
      <w:pPr>
        <w:pStyle w:val="4"/>
        <w:rPr>
          <w:rFonts w:hint="eastAsia"/>
          <w:lang w:val="en-US" w:eastAsia="zh-CN"/>
        </w:rPr>
      </w:pPr>
    </w:p>
    <w:p>
      <w:pPr>
        <w:pStyle w:val="4"/>
        <w:rPr>
          <w:rFonts w:hint="default"/>
          <w:b/>
          <w:bCs/>
          <w:color w:val="FF0000"/>
          <w:lang w:val="en-US" w:eastAsia="zh-CN"/>
        </w:rPr>
      </w:pPr>
      <w:r>
        <w:rPr>
          <w:rFonts w:hint="eastAsia"/>
          <w:b/>
          <w:bCs/>
          <w:color w:val="FF0000"/>
          <w:lang w:val="en-US" w:eastAsia="zh-CN"/>
        </w:rPr>
        <w:t>注：其他承保要求见附件2.1（竞价单位的提供的保险方案及保险金额等条件须不低于其他承保要求）</w:t>
      </w:r>
    </w:p>
    <w:p>
      <w:pPr>
        <w:pStyle w:val="4"/>
        <w:rPr>
          <w:rFonts w:hint="eastAsia"/>
          <w:lang w:val="en-US" w:eastAsia="zh-CN"/>
        </w:rPr>
      </w:pPr>
    </w:p>
    <w:p>
      <w:pPr>
        <w:pStyle w:val="4"/>
        <w:rPr>
          <w:rFonts w:hint="eastAsia"/>
          <w:lang w:val="en-US" w:eastAsia="zh-CN"/>
        </w:rPr>
      </w:pPr>
    </w:p>
    <w:p>
      <w:pPr>
        <w:pStyle w:val="5"/>
        <w:rPr>
          <w:rFonts w:hint="eastAsia"/>
          <w:lang w:val="en-US" w:eastAsia="zh-CN"/>
        </w:rPr>
      </w:pPr>
    </w:p>
    <w:p>
      <w:pPr>
        <w:rPr>
          <w:rFonts w:hint="eastAsia"/>
          <w:lang w:val="en-US" w:eastAsia="zh-CN"/>
        </w:rPr>
      </w:pPr>
    </w:p>
    <w:p>
      <w:pPr>
        <w:pStyle w:val="2"/>
        <w:rPr>
          <w:rFonts w:hint="eastAsia"/>
          <w:lang w:val="en-US" w:eastAsia="zh-CN"/>
        </w:rPr>
      </w:pPr>
    </w:p>
    <w:p>
      <w:pPr>
        <w:pStyle w:val="5"/>
        <w:rPr>
          <w:rFonts w:hint="eastAsia"/>
          <w:lang w:val="en-US" w:eastAsia="zh-CN"/>
        </w:rPr>
      </w:pPr>
    </w:p>
    <w:p>
      <w:pPr>
        <w:rPr>
          <w:rFonts w:hint="eastAsia"/>
          <w:lang w:val="en-US" w:eastAsia="zh-CN"/>
        </w:rPr>
      </w:pPr>
    </w:p>
    <w:p>
      <w:pPr>
        <w:pStyle w:val="2"/>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此表装入竞价文件中，作为报价函附件</w:t>
      </w:r>
      <w:r>
        <w:rPr>
          <w:rFonts w:hint="eastAsia" w:ascii="宋体" w:hAnsi="宋体"/>
          <w:b/>
          <w:bCs/>
          <w:color w:val="FF0000"/>
          <w:sz w:val="24"/>
          <w:lang w:eastAsia="zh-CN"/>
        </w:rPr>
        <w:t>）</w:t>
      </w:r>
    </w:p>
    <w:p>
      <w:pPr>
        <w:spacing w:line="260" w:lineRule="exact"/>
        <w:outlineLvl w:val="1"/>
        <w:rPr>
          <w:rFonts w:hint="eastAsia" w:ascii="宋体" w:hAnsi="宋体"/>
          <w:color w:val="000000"/>
          <w:lang w:val="en-US" w:eastAsia="zh-CN"/>
        </w:rPr>
      </w:pPr>
      <w:r>
        <w:rPr>
          <w:rFonts w:hint="eastAsia" w:ascii="宋体" w:hAnsi="宋体"/>
          <w:color w:val="000000"/>
        </w:rPr>
        <w:t>附件</w:t>
      </w:r>
      <w:r>
        <w:rPr>
          <w:rFonts w:hint="eastAsia" w:ascii="宋体" w:hAnsi="宋体"/>
          <w:color w:val="000000"/>
          <w:lang w:val="en-US" w:eastAsia="zh-CN"/>
        </w:rPr>
        <w:t>2.1</w:t>
      </w:r>
    </w:p>
    <w:p>
      <w:pPr>
        <w:pStyle w:val="4"/>
        <w:jc w:val="center"/>
        <w:rPr>
          <w:rFonts w:hint="default" w:ascii="宋体" w:hAnsi="宋体"/>
          <w:b/>
          <w:bCs/>
          <w:color w:val="000000"/>
          <w:sz w:val="36"/>
          <w:szCs w:val="24"/>
          <w:lang w:val="en-US" w:eastAsia="zh-CN"/>
        </w:rPr>
      </w:pPr>
      <w:r>
        <w:rPr>
          <w:rFonts w:hint="eastAsia" w:ascii="宋体" w:hAnsi="宋体"/>
          <w:b/>
          <w:bCs/>
          <w:color w:val="000000"/>
          <w:sz w:val="36"/>
          <w:szCs w:val="24"/>
          <w:lang w:val="en-US" w:eastAsia="zh-CN"/>
        </w:rPr>
        <w:t>其他承保要求</w:t>
      </w:r>
    </w:p>
    <w:p>
      <w:pPr>
        <w:pStyle w:val="4"/>
        <w:jc w:val="left"/>
        <w:rPr>
          <w:rFonts w:hint="eastAsia" w:ascii="宋体" w:hAnsi="宋体"/>
          <w:b/>
          <w:bCs/>
          <w:color w:val="000000"/>
          <w:sz w:val="24"/>
          <w:szCs w:val="20"/>
          <w:lang w:val="en-US" w:eastAsia="zh-CN"/>
        </w:rPr>
      </w:pPr>
      <w:r>
        <w:rPr>
          <w:rFonts w:hint="eastAsia" w:ascii="宋体" w:hAnsi="宋体"/>
          <w:b/>
          <w:bCs/>
          <w:color w:val="000000"/>
          <w:sz w:val="24"/>
          <w:szCs w:val="20"/>
          <w:lang w:val="en-US" w:eastAsia="zh-CN"/>
        </w:rPr>
        <w:t>1.保险方案及保险金额</w:t>
      </w:r>
    </w:p>
    <w:p>
      <w:pPr>
        <w:pStyle w:val="5"/>
        <w:rPr>
          <w:rFonts w:hint="eastAsia" w:ascii="宋体" w:hAnsi="宋体"/>
          <w:b/>
          <w:bCs/>
          <w:color w:val="000000"/>
          <w:sz w:val="24"/>
          <w:szCs w:val="20"/>
          <w:lang w:val="en-US" w:eastAsia="zh-CN"/>
        </w:rPr>
      </w:pPr>
      <w:r>
        <w:rPr>
          <w:rFonts w:hint="eastAsia" w:ascii="宋体" w:hAnsi="宋体"/>
          <w:b/>
          <w:bCs/>
          <w:color w:val="000000"/>
          <w:sz w:val="24"/>
          <w:szCs w:val="20"/>
          <w:lang w:val="en-US" w:eastAsia="zh-CN"/>
        </w:rPr>
        <w:t>（1）每人身故/残疾保险金额不低于60万元；</w:t>
      </w:r>
    </w:p>
    <w:p>
      <w:pPr>
        <w:pStyle w:val="5"/>
        <w:rPr>
          <w:rFonts w:hint="eastAsia" w:ascii="宋体" w:hAnsi="宋体"/>
          <w:b/>
          <w:bCs/>
          <w:color w:val="000000"/>
          <w:sz w:val="24"/>
          <w:szCs w:val="20"/>
          <w:lang w:val="en-US" w:eastAsia="zh-CN"/>
        </w:rPr>
      </w:pPr>
      <w:r>
        <w:rPr>
          <w:rFonts w:hint="eastAsia" w:ascii="宋体" w:hAnsi="宋体"/>
          <w:b/>
          <w:bCs/>
          <w:color w:val="000000"/>
          <w:sz w:val="24"/>
          <w:szCs w:val="20"/>
          <w:lang w:val="en-US" w:eastAsia="zh-CN"/>
        </w:rPr>
        <w:t>（2）每人医疗费用保险金额不低于6万元；</w:t>
      </w:r>
    </w:p>
    <w:p>
      <w:pPr>
        <w:pStyle w:val="5"/>
        <w:rPr>
          <w:rFonts w:hint="eastAsia" w:ascii="宋体" w:hAnsi="宋体"/>
          <w:b/>
          <w:bCs/>
          <w:color w:val="000000"/>
          <w:sz w:val="24"/>
          <w:szCs w:val="20"/>
          <w:lang w:val="en-US" w:eastAsia="zh-CN"/>
        </w:rPr>
      </w:pPr>
      <w:r>
        <w:rPr>
          <w:rFonts w:hint="eastAsia" w:ascii="宋体" w:hAnsi="宋体"/>
          <w:b/>
          <w:bCs/>
          <w:color w:val="000000"/>
          <w:sz w:val="24"/>
          <w:szCs w:val="20"/>
          <w:lang w:val="en-US" w:eastAsia="zh-CN"/>
        </w:rPr>
        <w:t>（3）申请本项目保单项下的死亡、伤残赔偿金时，至少累计1个出险人员无需提供安监证明；</w:t>
      </w:r>
    </w:p>
    <w:p>
      <w:pPr>
        <w:pStyle w:val="5"/>
        <w:rPr>
          <w:rFonts w:hint="eastAsia" w:ascii="宋体" w:hAnsi="宋体"/>
          <w:b/>
          <w:bCs/>
          <w:color w:val="000000"/>
          <w:sz w:val="24"/>
          <w:szCs w:val="20"/>
          <w:lang w:val="en-US" w:eastAsia="zh-CN"/>
        </w:rPr>
      </w:pPr>
      <w:r>
        <w:rPr>
          <w:rFonts w:hint="eastAsia" w:ascii="宋体" w:hAnsi="宋体"/>
          <w:b/>
          <w:bCs/>
          <w:color w:val="000000"/>
          <w:sz w:val="24"/>
          <w:szCs w:val="20"/>
          <w:lang w:val="en-US" w:eastAsia="zh-CN"/>
        </w:rPr>
        <w:t>（4）伤残评定标准适用《劳动能力鉴定职工工伤与职业病致残等级》GB/T 16180-2014）国家标准，保险合同中约定的残疾赔偿比例表不低于如下比例：一级伤残100%、二级伤残80%、三级伤残70%、四级伤残60%、五级伤残40%、六级伤残30%、七级伤残20%、八级伤残15%、九级伤残7%、十级伤残5% ；</w:t>
      </w:r>
    </w:p>
    <w:p>
      <w:pPr>
        <w:pStyle w:val="5"/>
        <w:rPr>
          <w:rFonts w:hint="eastAsia" w:ascii="宋体" w:hAnsi="宋体"/>
          <w:color w:val="000000"/>
        </w:rPr>
      </w:pPr>
      <w:r>
        <w:rPr>
          <w:rFonts w:hint="eastAsia" w:ascii="宋体" w:hAnsi="宋体"/>
          <w:b/>
          <w:bCs/>
          <w:color w:val="000000"/>
          <w:sz w:val="24"/>
          <w:szCs w:val="20"/>
          <w:lang w:val="en-US" w:eastAsia="zh-CN"/>
        </w:rPr>
        <w:t xml:space="preserve"> （5）保险应包含上下班途中责任保险。</w:t>
      </w:r>
    </w:p>
    <w:p>
      <w:pPr>
        <w:spacing w:line="260" w:lineRule="exact"/>
        <w:outlineLvl w:val="1"/>
        <w:rPr>
          <w:rFonts w:hint="eastAsia" w:ascii="宋体" w:hAnsi="宋体"/>
          <w:color w:val="000000"/>
        </w:rPr>
      </w:pPr>
    </w:p>
    <w:tbl>
      <w:tblPr>
        <w:tblStyle w:val="11"/>
        <w:tblW w:w="84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272"/>
        <w:gridCol w:w="3767"/>
        <w:gridCol w:w="33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80" w:hRule="atLeast"/>
        </w:trPr>
        <w:tc>
          <w:tcPr>
            <w:tcW w:w="5039"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项目名称</w:t>
            </w:r>
          </w:p>
        </w:tc>
        <w:tc>
          <w:tcPr>
            <w:tcW w:w="3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承保金额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1" w:hRule="atLeast"/>
        </w:trPr>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责任限额</w:t>
            </w:r>
          </w:p>
        </w:tc>
        <w:tc>
          <w:tcPr>
            <w:tcW w:w="3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累计责任限额</w:t>
            </w:r>
          </w:p>
        </w:tc>
        <w:tc>
          <w:tcPr>
            <w:tcW w:w="3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kern w:val="0"/>
                <w:sz w:val="22"/>
                <w:szCs w:val="22"/>
                <w:u w:val="none"/>
                <w:lang w:val="en-US" w:eastAsia="zh-CN" w:bidi="ar"/>
              </w:rPr>
              <w:t>不低于</w:t>
            </w:r>
            <w:r>
              <w:rPr>
                <w:rFonts w:hint="eastAsia" w:ascii="宋体" w:hAnsi="宋体" w:eastAsia="宋体" w:cs="宋体"/>
                <w:i w:val="0"/>
                <w:color w:val="000000"/>
                <w:kern w:val="0"/>
                <w:sz w:val="22"/>
                <w:szCs w:val="22"/>
                <w:u w:val="none"/>
                <w:lang w:val="en-US" w:eastAsia="zh-CN" w:bidi="ar"/>
              </w:rPr>
              <w:t>180万元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5" w:hRule="atLeast"/>
        </w:trPr>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每次事故责任限额</w:t>
            </w:r>
          </w:p>
        </w:tc>
        <w:tc>
          <w:tcPr>
            <w:tcW w:w="3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不低于</w:t>
            </w:r>
            <w:r>
              <w:rPr>
                <w:rFonts w:hint="eastAsia" w:ascii="宋体" w:hAnsi="宋体" w:eastAsia="宋体" w:cs="宋体"/>
                <w:i w:val="0"/>
                <w:color w:val="000000"/>
                <w:kern w:val="0"/>
                <w:sz w:val="22"/>
                <w:szCs w:val="22"/>
                <w:u w:val="none"/>
                <w:lang w:val="en-US" w:eastAsia="zh-CN" w:bidi="ar"/>
              </w:rPr>
              <w:t>180万元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5" w:hRule="atLeast"/>
        </w:trPr>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每人伤亡责任限额</w:t>
            </w:r>
          </w:p>
        </w:tc>
        <w:tc>
          <w:tcPr>
            <w:tcW w:w="3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不低于</w:t>
            </w:r>
            <w:r>
              <w:rPr>
                <w:rFonts w:hint="eastAsia" w:ascii="宋体" w:hAnsi="宋体" w:eastAsia="宋体" w:cs="宋体"/>
                <w:i w:val="0"/>
                <w:color w:val="000000"/>
                <w:kern w:val="0"/>
                <w:sz w:val="22"/>
                <w:szCs w:val="22"/>
                <w:u w:val="none"/>
                <w:lang w:val="en-US" w:eastAsia="zh-CN" w:bidi="ar"/>
              </w:rPr>
              <w:t>60万元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38" w:hRule="atLeast"/>
        </w:trPr>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每人医疗赔偿限额</w:t>
            </w:r>
          </w:p>
        </w:tc>
        <w:tc>
          <w:tcPr>
            <w:tcW w:w="3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不低于</w:t>
            </w:r>
            <w:r>
              <w:rPr>
                <w:rFonts w:hint="eastAsia" w:ascii="宋体" w:hAnsi="宋体" w:eastAsia="宋体" w:cs="宋体"/>
                <w:i w:val="0"/>
                <w:color w:val="000000"/>
                <w:kern w:val="0"/>
                <w:sz w:val="22"/>
                <w:szCs w:val="22"/>
                <w:u w:val="none"/>
                <w:lang w:val="en-US" w:eastAsia="zh-CN" w:bidi="ar"/>
              </w:rPr>
              <w:t>6万元</w:t>
            </w:r>
          </w:p>
        </w:tc>
      </w:tr>
    </w:tbl>
    <w:p>
      <w:pPr>
        <w:pStyle w:val="2"/>
        <w:rPr>
          <w:rFonts w:hint="eastAsia"/>
        </w:rPr>
      </w:pPr>
    </w:p>
    <w:tbl>
      <w:tblPr>
        <w:tblStyle w:val="11"/>
        <w:tblpPr w:leftFromText="180" w:rightFromText="180" w:vertAnchor="text" w:horzAnchor="page" w:tblpX="1663" w:tblpY="107"/>
        <w:tblOverlap w:val="never"/>
        <w:tblW w:w="0" w:type="auto"/>
        <w:tblInd w:w="0" w:type="dxa"/>
        <w:tblLayout w:type="autofit"/>
        <w:tblCellMar>
          <w:top w:w="0" w:type="dxa"/>
          <w:left w:w="0" w:type="dxa"/>
          <w:bottom w:w="0" w:type="dxa"/>
          <w:right w:w="0" w:type="dxa"/>
        </w:tblCellMar>
      </w:tblPr>
      <w:tblGrid>
        <w:gridCol w:w="5040"/>
        <w:gridCol w:w="3367"/>
      </w:tblGrid>
      <w:tr>
        <w:tblPrEx>
          <w:tblCellMar>
            <w:top w:w="0" w:type="dxa"/>
            <w:left w:w="0" w:type="dxa"/>
            <w:bottom w:w="0" w:type="dxa"/>
            <w:right w:w="0" w:type="dxa"/>
          </w:tblCellMar>
        </w:tblPrEx>
        <w:tc>
          <w:tcPr>
            <w:tcW w:w="8407" w:type="dxa"/>
            <w:gridSpan w:val="2"/>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400" w:lineRule="atLeast"/>
              <w:jc w:val="center"/>
              <w:rPr>
                <w:rFonts w:ascii="仿宋" w:hAnsi="仿宋" w:eastAsia="仿宋" w:cs="宋体"/>
                <w:kern w:val="0"/>
                <w:sz w:val="24"/>
              </w:rPr>
            </w:pPr>
            <w:r>
              <w:rPr>
                <w:rFonts w:hint="eastAsia" w:ascii="仿宋" w:hAnsi="仿宋" w:eastAsia="仿宋" w:cs="宋体"/>
                <w:b/>
                <w:bCs/>
                <w:kern w:val="0"/>
                <w:sz w:val="24"/>
                <w:lang w:eastAsia="zh-CN"/>
              </w:rPr>
              <w:t>伤残</w:t>
            </w:r>
            <w:r>
              <w:rPr>
                <w:rFonts w:hint="eastAsia" w:ascii="仿宋" w:hAnsi="仿宋" w:eastAsia="仿宋" w:cs="宋体"/>
                <w:b/>
                <w:bCs/>
                <w:kern w:val="0"/>
                <w:sz w:val="24"/>
              </w:rPr>
              <w:t>赔偿比例表</w:t>
            </w:r>
          </w:p>
        </w:tc>
      </w:tr>
      <w:tr>
        <w:tblPrEx>
          <w:tblCellMar>
            <w:top w:w="0" w:type="dxa"/>
            <w:left w:w="0" w:type="dxa"/>
            <w:bottom w:w="0" w:type="dxa"/>
            <w:right w:w="0" w:type="dxa"/>
          </w:tblCellMar>
        </w:tblPrEx>
        <w:tc>
          <w:tcPr>
            <w:tcW w:w="5040"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400" w:lineRule="atLeast"/>
              <w:jc w:val="center"/>
              <w:rPr>
                <w:rFonts w:ascii="仿宋" w:hAnsi="仿宋" w:eastAsia="仿宋" w:cs="宋体"/>
                <w:kern w:val="0"/>
                <w:sz w:val="24"/>
              </w:rPr>
            </w:pPr>
            <w:r>
              <w:rPr>
                <w:rFonts w:hint="eastAsia" w:ascii="仿宋" w:hAnsi="仿宋" w:eastAsia="仿宋" w:cs="宋体"/>
                <w:b/>
                <w:bCs/>
                <w:kern w:val="0"/>
                <w:sz w:val="24"/>
              </w:rPr>
              <w:t>残疾程度</w:t>
            </w:r>
          </w:p>
        </w:tc>
        <w:tc>
          <w:tcPr>
            <w:tcW w:w="336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400" w:lineRule="atLeast"/>
              <w:jc w:val="center"/>
              <w:rPr>
                <w:rFonts w:ascii="仿宋" w:hAnsi="仿宋" w:eastAsia="仿宋" w:cs="宋体"/>
                <w:kern w:val="0"/>
                <w:sz w:val="24"/>
              </w:rPr>
            </w:pPr>
            <w:r>
              <w:rPr>
                <w:rFonts w:hint="eastAsia" w:ascii="仿宋" w:hAnsi="仿宋" w:eastAsia="仿宋" w:cs="宋体"/>
                <w:b/>
                <w:bCs/>
                <w:kern w:val="0"/>
                <w:sz w:val="24"/>
              </w:rPr>
              <w:t>限额百分比</w:t>
            </w:r>
          </w:p>
        </w:tc>
      </w:tr>
      <w:tr>
        <w:tblPrEx>
          <w:tblCellMar>
            <w:top w:w="0" w:type="dxa"/>
            <w:left w:w="0" w:type="dxa"/>
            <w:bottom w:w="0" w:type="dxa"/>
            <w:right w:w="0" w:type="dxa"/>
          </w:tblCellMar>
        </w:tblPrEx>
        <w:trPr>
          <w:trHeight w:val="90" w:hRule="atLeast"/>
        </w:trPr>
        <w:tc>
          <w:tcPr>
            <w:tcW w:w="5040"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400" w:lineRule="atLeast"/>
              <w:jc w:val="center"/>
              <w:rPr>
                <w:rFonts w:ascii="仿宋" w:hAnsi="仿宋" w:eastAsia="仿宋" w:cs="宋体"/>
                <w:kern w:val="0"/>
                <w:sz w:val="24"/>
              </w:rPr>
            </w:pPr>
            <w:r>
              <w:rPr>
                <w:rFonts w:hint="eastAsia" w:ascii="仿宋" w:hAnsi="仿宋" w:eastAsia="仿宋" w:cs="宋体"/>
                <w:kern w:val="0"/>
                <w:sz w:val="24"/>
              </w:rPr>
              <w:t>一级残疾</w:t>
            </w:r>
          </w:p>
        </w:tc>
        <w:tc>
          <w:tcPr>
            <w:tcW w:w="336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仿宋" w:hAnsi="仿宋" w:eastAsia="仿宋" w:cs="宋体"/>
                <w:kern w:val="0"/>
                <w:sz w:val="24"/>
              </w:rPr>
            </w:pPr>
            <w:r>
              <w:rPr>
                <w:rFonts w:hint="eastAsia" w:ascii="仿宋" w:hAnsi="仿宋" w:eastAsia="仿宋" w:cs="宋体"/>
                <w:kern w:val="0"/>
                <w:sz w:val="24"/>
              </w:rPr>
              <w:t>100%</w:t>
            </w:r>
          </w:p>
        </w:tc>
      </w:tr>
      <w:tr>
        <w:tblPrEx>
          <w:tblCellMar>
            <w:top w:w="0" w:type="dxa"/>
            <w:left w:w="0" w:type="dxa"/>
            <w:bottom w:w="0" w:type="dxa"/>
            <w:right w:w="0" w:type="dxa"/>
          </w:tblCellMar>
        </w:tblPrEx>
        <w:tc>
          <w:tcPr>
            <w:tcW w:w="5040"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400" w:lineRule="atLeast"/>
              <w:jc w:val="center"/>
              <w:rPr>
                <w:rFonts w:ascii="仿宋" w:hAnsi="仿宋" w:eastAsia="仿宋" w:cs="宋体"/>
                <w:kern w:val="0"/>
                <w:sz w:val="24"/>
              </w:rPr>
            </w:pPr>
            <w:r>
              <w:rPr>
                <w:rFonts w:hint="eastAsia" w:ascii="仿宋" w:hAnsi="仿宋" w:eastAsia="仿宋" w:cs="宋体"/>
                <w:kern w:val="0"/>
                <w:sz w:val="24"/>
              </w:rPr>
              <w:t>二级残疾</w:t>
            </w:r>
          </w:p>
        </w:tc>
        <w:tc>
          <w:tcPr>
            <w:tcW w:w="336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仿宋" w:hAnsi="仿宋" w:eastAsia="仿宋" w:cs="宋体"/>
                <w:kern w:val="0"/>
                <w:sz w:val="24"/>
              </w:rPr>
            </w:pPr>
            <w:r>
              <w:rPr>
                <w:rFonts w:hint="eastAsia" w:ascii="宋体" w:hAnsi="宋体" w:cs="宋体"/>
                <w:i w:val="0"/>
                <w:color w:val="000000"/>
                <w:kern w:val="0"/>
                <w:sz w:val="22"/>
                <w:szCs w:val="22"/>
                <w:u w:val="none"/>
                <w:lang w:val="en-US" w:eastAsia="zh-CN" w:bidi="ar"/>
              </w:rPr>
              <w:t>不低于</w:t>
            </w:r>
            <w:r>
              <w:rPr>
                <w:rFonts w:hint="eastAsia" w:ascii="仿宋" w:hAnsi="仿宋" w:eastAsia="仿宋" w:cs="宋体"/>
                <w:kern w:val="0"/>
                <w:sz w:val="24"/>
              </w:rPr>
              <w:t>80%</w:t>
            </w:r>
          </w:p>
        </w:tc>
      </w:tr>
      <w:tr>
        <w:tblPrEx>
          <w:tblCellMar>
            <w:top w:w="0" w:type="dxa"/>
            <w:left w:w="0" w:type="dxa"/>
            <w:bottom w:w="0" w:type="dxa"/>
            <w:right w:w="0" w:type="dxa"/>
          </w:tblCellMar>
        </w:tblPrEx>
        <w:tc>
          <w:tcPr>
            <w:tcW w:w="5040"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400" w:lineRule="atLeast"/>
              <w:jc w:val="center"/>
              <w:rPr>
                <w:rFonts w:ascii="仿宋" w:hAnsi="仿宋" w:eastAsia="仿宋" w:cs="宋体"/>
                <w:kern w:val="0"/>
                <w:sz w:val="24"/>
              </w:rPr>
            </w:pPr>
            <w:r>
              <w:rPr>
                <w:rFonts w:hint="eastAsia" w:ascii="仿宋" w:hAnsi="仿宋" w:eastAsia="仿宋" w:cs="宋体"/>
                <w:kern w:val="0"/>
                <w:sz w:val="24"/>
              </w:rPr>
              <w:t>三级残疾</w:t>
            </w:r>
          </w:p>
        </w:tc>
        <w:tc>
          <w:tcPr>
            <w:tcW w:w="336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仿宋" w:hAnsi="仿宋" w:eastAsia="仿宋" w:cs="宋体"/>
                <w:kern w:val="0"/>
                <w:sz w:val="24"/>
              </w:rPr>
            </w:pPr>
            <w:r>
              <w:rPr>
                <w:rFonts w:hint="eastAsia" w:ascii="宋体" w:hAnsi="宋体" w:cs="宋体"/>
                <w:i w:val="0"/>
                <w:color w:val="000000"/>
                <w:kern w:val="0"/>
                <w:sz w:val="22"/>
                <w:szCs w:val="22"/>
                <w:u w:val="none"/>
                <w:lang w:val="en-US" w:eastAsia="zh-CN" w:bidi="ar"/>
              </w:rPr>
              <w:t>不低于</w:t>
            </w:r>
            <w:r>
              <w:rPr>
                <w:rFonts w:hint="eastAsia" w:ascii="仿宋" w:hAnsi="仿宋" w:eastAsia="仿宋" w:cs="宋体"/>
                <w:kern w:val="0"/>
                <w:sz w:val="24"/>
              </w:rPr>
              <w:t>70%</w:t>
            </w:r>
          </w:p>
        </w:tc>
      </w:tr>
      <w:tr>
        <w:tblPrEx>
          <w:tblCellMar>
            <w:top w:w="0" w:type="dxa"/>
            <w:left w:w="0" w:type="dxa"/>
            <w:bottom w:w="0" w:type="dxa"/>
            <w:right w:w="0" w:type="dxa"/>
          </w:tblCellMar>
        </w:tblPrEx>
        <w:tc>
          <w:tcPr>
            <w:tcW w:w="5040"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400" w:lineRule="atLeast"/>
              <w:jc w:val="center"/>
              <w:rPr>
                <w:rFonts w:ascii="仿宋" w:hAnsi="仿宋" w:eastAsia="仿宋" w:cs="宋体"/>
                <w:kern w:val="0"/>
                <w:sz w:val="24"/>
              </w:rPr>
            </w:pPr>
            <w:r>
              <w:rPr>
                <w:rFonts w:hint="eastAsia" w:ascii="仿宋" w:hAnsi="仿宋" w:eastAsia="仿宋" w:cs="宋体"/>
                <w:kern w:val="0"/>
                <w:sz w:val="24"/>
              </w:rPr>
              <w:t>四级残疾</w:t>
            </w:r>
          </w:p>
        </w:tc>
        <w:tc>
          <w:tcPr>
            <w:tcW w:w="336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仿宋" w:hAnsi="仿宋" w:eastAsia="仿宋" w:cs="宋体"/>
                <w:kern w:val="0"/>
                <w:sz w:val="24"/>
              </w:rPr>
            </w:pPr>
            <w:r>
              <w:rPr>
                <w:rFonts w:hint="eastAsia" w:ascii="宋体" w:hAnsi="宋体" w:cs="宋体"/>
                <w:i w:val="0"/>
                <w:color w:val="000000"/>
                <w:kern w:val="0"/>
                <w:sz w:val="22"/>
                <w:szCs w:val="22"/>
                <w:u w:val="none"/>
                <w:lang w:val="en-US" w:eastAsia="zh-CN" w:bidi="ar"/>
              </w:rPr>
              <w:t>不低于</w:t>
            </w:r>
            <w:r>
              <w:rPr>
                <w:rFonts w:hint="eastAsia" w:ascii="仿宋" w:hAnsi="仿宋" w:eastAsia="仿宋" w:cs="宋体"/>
                <w:kern w:val="0"/>
                <w:sz w:val="24"/>
              </w:rPr>
              <w:t>60%</w:t>
            </w:r>
          </w:p>
        </w:tc>
      </w:tr>
      <w:tr>
        <w:tblPrEx>
          <w:tblCellMar>
            <w:top w:w="0" w:type="dxa"/>
            <w:left w:w="0" w:type="dxa"/>
            <w:bottom w:w="0" w:type="dxa"/>
            <w:right w:w="0" w:type="dxa"/>
          </w:tblCellMar>
        </w:tblPrEx>
        <w:tc>
          <w:tcPr>
            <w:tcW w:w="5040"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400" w:lineRule="atLeast"/>
              <w:jc w:val="center"/>
              <w:rPr>
                <w:rFonts w:ascii="仿宋" w:hAnsi="仿宋" w:eastAsia="仿宋" w:cs="宋体"/>
                <w:kern w:val="0"/>
                <w:sz w:val="24"/>
              </w:rPr>
            </w:pPr>
            <w:r>
              <w:rPr>
                <w:rFonts w:hint="eastAsia" w:ascii="仿宋" w:hAnsi="仿宋" w:eastAsia="仿宋" w:cs="宋体"/>
                <w:kern w:val="0"/>
                <w:sz w:val="24"/>
              </w:rPr>
              <w:t>五级残疾</w:t>
            </w:r>
          </w:p>
        </w:tc>
        <w:tc>
          <w:tcPr>
            <w:tcW w:w="336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仿宋" w:hAnsi="仿宋" w:eastAsia="仿宋" w:cs="宋体"/>
                <w:kern w:val="0"/>
                <w:sz w:val="24"/>
              </w:rPr>
            </w:pPr>
            <w:r>
              <w:rPr>
                <w:rFonts w:hint="eastAsia" w:ascii="宋体" w:hAnsi="宋体" w:cs="宋体"/>
                <w:i w:val="0"/>
                <w:color w:val="000000"/>
                <w:kern w:val="0"/>
                <w:sz w:val="22"/>
                <w:szCs w:val="22"/>
                <w:u w:val="none"/>
                <w:lang w:val="en-US" w:eastAsia="zh-CN" w:bidi="ar"/>
              </w:rPr>
              <w:t>不低于</w:t>
            </w:r>
            <w:r>
              <w:rPr>
                <w:rFonts w:hint="eastAsia" w:ascii="仿宋" w:hAnsi="仿宋" w:eastAsia="仿宋" w:cs="宋体"/>
                <w:kern w:val="0"/>
                <w:sz w:val="24"/>
              </w:rPr>
              <w:t>40%</w:t>
            </w:r>
          </w:p>
        </w:tc>
      </w:tr>
      <w:tr>
        <w:tblPrEx>
          <w:tblCellMar>
            <w:top w:w="0" w:type="dxa"/>
            <w:left w:w="0" w:type="dxa"/>
            <w:bottom w:w="0" w:type="dxa"/>
            <w:right w:w="0" w:type="dxa"/>
          </w:tblCellMar>
        </w:tblPrEx>
        <w:tc>
          <w:tcPr>
            <w:tcW w:w="5040"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400" w:lineRule="atLeast"/>
              <w:jc w:val="center"/>
              <w:rPr>
                <w:rFonts w:ascii="仿宋" w:hAnsi="仿宋" w:eastAsia="仿宋" w:cs="宋体"/>
                <w:kern w:val="0"/>
                <w:sz w:val="24"/>
              </w:rPr>
            </w:pPr>
            <w:r>
              <w:rPr>
                <w:rFonts w:hint="eastAsia" w:ascii="仿宋" w:hAnsi="仿宋" w:eastAsia="仿宋" w:cs="宋体"/>
                <w:kern w:val="0"/>
                <w:sz w:val="24"/>
              </w:rPr>
              <w:t>六级残疾</w:t>
            </w:r>
          </w:p>
        </w:tc>
        <w:tc>
          <w:tcPr>
            <w:tcW w:w="336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仿宋" w:hAnsi="仿宋" w:eastAsia="仿宋" w:cs="宋体"/>
                <w:kern w:val="0"/>
                <w:sz w:val="24"/>
              </w:rPr>
            </w:pPr>
            <w:r>
              <w:rPr>
                <w:rFonts w:hint="eastAsia" w:ascii="宋体" w:hAnsi="宋体" w:cs="宋体"/>
                <w:i w:val="0"/>
                <w:color w:val="000000"/>
                <w:kern w:val="0"/>
                <w:sz w:val="22"/>
                <w:szCs w:val="22"/>
                <w:u w:val="none"/>
                <w:lang w:val="en-US" w:eastAsia="zh-CN" w:bidi="ar"/>
              </w:rPr>
              <w:t>不低于</w:t>
            </w:r>
            <w:r>
              <w:rPr>
                <w:rFonts w:hint="eastAsia" w:ascii="仿宋" w:hAnsi="仿宋" w:eastAsia="仿宋" w:cs="宋体"/>
                <w:kern w:val="0"/>
                <w:sz w:val="24"/>
              </w:rPr>
              <w:t>30%</w:t>
            </w:r>
          </w:p>
        </w:tc>
      </w:tr>
      <w:tr>
        <w:tblPrEx>
          <w:tblCellMar>
            <w:top w:w="0" w:type="dxa"/>
            <w:left w:w="0" w:type="dxa"/>
            <w:bottom w:w="0" w:type="dxa"/>
            <w:right w:w="0" w:type="dxa"/>
          </w:tblCellMar>
        </w:tblPrEx>
        <w:tc>
          <w:tcPr>
            <w:tcW w:w="5040"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400" w:lineRule="atLeast"/>
              <w:jc w:val="center"/>
              <w:rPr>
                <w:rFonts w:ascii="仿宋" w:hAnsi="仿宋" w:eastAsia="仿宋" w:cs="宋体"/>
                <w:kern w:val="0"/>
                <w:sz w:val="24"/>
              </w:rPr>
            </w:pPr>
            <w:r>
              <w:rPr>
                <w:rFonts w:hint="eastAsia" w:ascii="仿宋" w:hAnsi="仿宋" w:eastAsia="仿宋" w:cs="宋体"/>
                <w:kern w:val="0"/>
                <w:sz w:val="24"/>
              </w:rPr>
              <w:t>七级残疾</w:t>
            </w:r>
          </w:p>
        </w:tc>
        <w:tc>
          <w:tcPr>
            <w:tcW w:w="336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仿宋" w:hAnsi="仿宋" w:eastAsia="仿宋" w:cs="宋体"/>
                <w:kern w:val="0"/>
                <w:sz w:val="24"/>
              </w:rPr>
            </w:pPr>
            <w:r>
              <w:rPr>
                <w:rFonts w:hint="eastAsia" w:ascii="宋体" w:hAnsi="宋体" w:cs="宋体"/>
                <w:i w:val="0"/>
                <w:color w:val="000000"/>
                <w:kern w:val="0"/>
                <w:sz w:val="22"/>
                <w:szCs w:val="22"/>
                <w:u w:val="none"/>
                <w:lang w:val="en-US" w:eastAsia="zh-CN" w:bidi="ar"/>
              </w:rPr>
              <w:t>不低于</w:t>
            </w:r>
            <w:r>
              <w:rPr>
                <w:rFonts w:hint="eastAsia" w:ascii="仿宋" w:hAnsi="仿宋" w:eastAsia="仿宋" w:cs="宋体"/>
                <w:kern w:val="0"/>
                <w:sz w:val="24"/>
              </w:rPr>
              <w:t>20%</w:t>
            </w:r>
          </w:p>
        </w:tc>
      </w:tr>
      <w:tr>
        <w:tblPrEx>
          <w:tblCellMar>
            <w:top w:w="0" w:type="dxa"/>
            <w:left w:w="0" w:type="dxa"/>
            <w:bottom w:w="0" w:type="dxa"/>
            <w:right w:w="0" w:type="dxa"/>
          </w:tblCellMar>
        </w:tblPrEx>
        <w:tc>
          <w:tcPr>
            <w:tcW w:w="5040"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400" w:lineRule="atLeast"/>
              <w:jc w:val="center"/>
              <w:rPr>
                <w:rFonts w:ascii="仿宋" w:hAnsi="仿宋" w:eastAsia="仿宋" w:cs="宋体"/>
                <w:kern w:val="0"/>
                <w:sz w:val="24"/>
              </w:rPr>
            </w:pPr>
            <w:r>
              <w:rPr>
                <w:rFonts w:hint="eastAsia" w:ascii="仿宋" w:hAnsi="仿宋" w:eastAsia="仿宋" w:cs="宋体"/>
                <w:kern w:val="0"/>
                <w:sz w:val="24"/>
              </w:rPr>
              <w:t>八级残疾</w:t>
            </w:r>
          </w:p>
        </w:tc>
        <w:tc>
          <w:tcPr>
            <w:tcW w:w="336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仿宋" w:hAnsi="仿宋" w:eastAsia="仿宋" w:cs="宋体"/>
                <w:kern w:val="0"/>
                <w:sz w:val="24"/>
              </w:rPr>
            </w:pPr>
            <w:r>
              <w:rPr>
                <w:rFonts w:hint="eastAsia" w:ascii="宋体" w:hAnsi="宋体" w:cs="宋体"/>
                <w:i w:val="0"/>
                <w:color w:val="000000"/>
                <w:kern w:val="0"/>
                <w:sz w:val="22"/>
                <w:szCs w:val="22"/>
                <w:u w:val="none"/>
                <w:lang w:val="en-US" w:eastAsia="zh-CN" w:bidi="ar"/>
              </w:rPr>
              <w:t>不低于</w:t>
            </w:r>
            <w:r>
              <w:rPr>
                <w:rFonts w:hint="eastAsia" w:ascii="仿宋" w:hAnsi="仿宋" w:eastAsia="仿宋" w:cs="宋体"/>
                <w:kern w:val="0"/>
                <w:sz w:val="24"/>
              </w:rPr>
              <w:t>15%</w:t>
            </w:r>
          </w:p>
        </w:tc>
      </w:tr>
      <w:tr>
        <w:tblPrEx>
          <w:tblCellMar>
            <w:top w:w="0" w:type="dxa"/>
            <w:left w:w="0" w:type="dxa"/>
            <w:bottom w:w="0" w:type="dxa"/>
            <w:right w:w="0" w:type="dxa"/>
          </w:tblCellMar>
        </w:tblPrEx>
        <w:tc>
          <w:tcPr>
            <w:tcW w:w="5040" w:type="dxa"/>
            <w:tcBorders>
              <w:top w:val="nil"/>
              <w:left w:val="single" w:color="auto" w:sz="8" w:space="0"/>
              <w:bottom w:val="single" w:color="auto" w:sz="4" w:space="0"/>
              <w:right w:val="single" w:color="auto" w:sz="8" w:space="0"/>
            </w:tcBorders>
            <w:noWrap w:val="0"/>
            <w:tcMar>
              <w:top w:w="0" w:type="dxa"/>
              <w:left w:w="108" w:type="dxa"/>
              <w:bottom w:w="0" w:type="dxa"/>
              <w:right w:w="108" w:type="dxa"/>
            </w:tcMar>
            <w:vAlign w:val="center"/>
          </w:tcPr>
          <w:p>
            <w:pPr>
              <w:widowControl/>
              <w:spacing w:line="400" w:lineRule="atLeast"/>
              <w:jc w:val="center"/>
              <w:rPr>
                <w:rFonts w:ascii="仿宋" w:hAnsi="仿宋" w:eastAsia="仿宋" w:cs="宋体"/>
                <w:kern w:val="0"/>
                <w:sz w:val="24"/>
              </w:rPr>
            </w:pPr>
            <w:r>
              <w:rPr>
                <w:rFonts w:hint="eastAsia" w:ascii="仿宋" w:hAnsi="仿宋" w:eastAsia="仿宋" w:cs="宋体"/>
                <w:kern w:val="0"/>
                <w:sz w:val="24"/>
              </w:rPr>
              <w:t>九级残疾</w:t>
            </w:r>
          </w:p>
        </w:tc>
        <w:tc>
          <w:tcPr>
            <w:tcW w:w="3367" w:type="dxa"/>
            <w:tcBorders>
              <w:top w:val="nil"/>
              <w:left w:val="nil"/>
              <w:bottom w:val="single" w:color="auto" w:sz="4" w:space="0"/>
              <w:right w:val="single" w:color="auto" w:sz="8" w:space="0"/>
            </w:tcBorders>
            <w:noWrap w:val="0"/>
            <w:tcMar>
              <w:top w:w="0" w:type="dxa"/>
              <w:left w:w="108" w:type="dxa"/>
              <w:bottom w:w="0" w:type="dxa"/>
              <w:right w:w="108" w:type="dxa"/>
            </w:tcMar>
            <w:vAlign w:val="center"/>
          </w:tcPr>
          <w:p>
            <w:pPr>
              <w:widowControl/>
              <w:jc w:val="center"/>
              <w:rPr>
                <w:rFonts w:ascii="仿宋" w:hAnsi="仿宋" w:eastAsia="仿宋" w:cs="宋体"/>
                <w:kern w:val="0"/>
                <w:sz w:val="24"/>
              </w:rPr>
            </w:pPr>
            <w:r>
              <w:rPr>
                <w:rFonts w:hint="eastAsia" w:ascii="宋体" w:hAnsi="宋体" w:cs="宋体"/>
                <w:i w:val="0"/>
                <w:color w:val="000000"/>
                <w:kern w:val="0"/>
                <w:sz w:val="22"/>
                <w:szCs w:val="22"/>
                <w:u w:val="none"/>
                <w:lang w:val="en-US" w:eastAsia="zh-CN" w:bidi="ar"/>
              </w:rPr>
              <w:t>不低于</w:t>
            </w:r>
            <w:r>
              <w:rPr>
                <w:rFonts w:hint="eastAsia" w:ascii="仿宋" w:hAnsi="仿宋" w:eastAsia="仿宋" w:cs="宋体"/>
                <w:kern w:val="0"/>
                <w:sz w:val="24"/>
              </w:rPr>
              <w:t>7%</w:t>
            </w:r>
          </w:p>
        </w:tc>
      </w:tr>
      <w:tr>
        <w:tblPrEx>
          <w:tblCellMar>
            <w:top w:w="0" w:type="dxa"/>
            <w:left w:w="0" w:type="dxa"/>
            <w:bottom w:w="0" w:type="dxa"/>
            <w:right w:w="0" w:type="dxa"/>
          </w:tblCellMar>
        </w:tblPrEx>
        <w:tc>
          <w:tcPr>
            <w:tcW w:w="5040" w:type="dxa"/>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400" w:lineRule="atLeast"/>
              <w:jc w:val="center"/>
              <w:rPr>
                <w:rFonts w:hint="eastAsia" w:ascii="仿宋" w:hAnsi="仿宋" w:eastAsia="仿宋" w:cs="宋体"/>
                <w:kern w:val="0"/>
                <w:sz w:val="24"/>
              </w:rPr>
            </w:pPr>
            <w:r>
              <w:rPr>
                <w:rFonts w:hint="eastAsia" w:ascii="仿宋" w:hAnsi="仿宋" w:eastAsia="仿宋" w:cs="宋体"/>
                <w:kern w:val="0"/>
                <w:sz w:val="24"/>
              </w:rPr>
              <w:t>十级残疾</w:t>
            </w:r>
          </w:p>
        </w:tc>
        <w:tc>
          <w:tcPr>
            <w:tcW w:w="3367" w:type="dxa"/>
            <w:tcBorders>
              <w:top w:val="single" w:color="auto" w:sz="4"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仿宋" w:hAnsi="仿宋" w:eastAsia="仿宋" w:cs="宋体"/>
                <w:kern w:val="0"/>
                <w:sz w:val="24"/>
              </w:rPr>
            </w:pPr>
            <w:r>
              <w:rPr>
                <w:rFonts w:hint="eastAsia" w:ascii="宋体" w:hAnsi="宋体" w:cs="宋体"/>
                <w:i w:val="0"/>
                <w:color w:val="000000"/>
                <w:kern w:val="0"/>
                <w:sz w:val="22"/>
                <w:szCs w:val="22"/>
                <w:u w:val="none"/>
                <w:lang w:val="en-US" w:eastAsia="zh-CN" w:bidi="ar"/>
              </w:rPr>
              <w:t>不低于</w:t>
            </w:r>
            <w:r>
              <w:rPr>
                <w:rFonts w:hint="eastAsia" w:ascii="仿宋" w:hAnsi="仿宋" w:eastAsia="仿宋" w:cs="宋体"/>
                <w:kern w:val="0"/>
                <w:sz w:val="24"/>
              </w:rPr>
              <w:t>5%</w:t>
            </w:r>
          </w:p>
        </w:tc>
      </w:tr>
    </w:tbl>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pStyle w:val="5"/>
        <w:ind w:left="0" w:leftChars="0" w:firstLine="0" w:firstLineChars="0"/>
        <w:rPr>
          <w:rFonts w:hint="eastAsia" w:ascii="宋体" w:hAnsi="宋体"/>
          <w:b/>
          <w:bCs/>
          <w:color w:val="000000"/>
          <w:sz w:val="24"/>
          <w:szCs w:val="20"/>
          <w:lang w:val="en-US" w:eastAsia="zh-CN"/>
        </w:rPr>
      </w:pPr>
    </w:p>
    <w:p>
      <w:pPr>
        <w:pStyle w:val="5"/>
        <w:numPr>
          <w:ilvl w:val="0"/>
          <w:numId w:val="1"/>
        </w:numPr>
        <w:ind w:left="0" w:leftChars="0" w:firstLine="482" w:firstLineChars="200"/>
        <w:rPr>
          <w:rFonts w:hint="eastAsia" w:ascii="宋体" w:hAnsi="宋体"/>
          <w:b/>
          <w:bCs/>
          <w:color w:val="000000"/>
          <w:sz w:val="24"/>
          <w:szCs w:val="20"/>
          <w:lang w:val="en-US" w:eastAsia="zh-CN"/>
        </w:rPr>
      </w:pPr>
      <w:r>
        <w:rPr>
          <w:rFonts w:hint="eastAsia" w:ascii="宋体" w:hAnsi="宋体"/>
          <w:b/>
          <w:bCs/>
          <w:color w:val="000000"/>
          <w:sz w:val="24"/>
          <w:szCs w:val="20"/>
          <w:lang w:val="en-US" w:eastAsia="zh-CN"/>
        </w:rPr>
        <w:t>赔付时效：须全年24小时全天候接受理赔。承保单位接到发生保险责任事故通知后，服务人员须于2小时内回馈处理意见。在赔款金额确定后，将按照下表时限标准支付赔款。</w:t>
      </w:r>
    </w:p>
    <w:p>
      <w:pPr>
        <w:numPr>
          <w:ilvl w:val="0"/>
          <w:numId w:val="1"/>
        </w:numPr>
        <w:rPr>
          <w:rFonts w:hint="eastAsia"/>
        </w:rPr>
      </w:pPr>
    </w:p>
    <w:tbl>
      <w:tblPr>
        <w:tblStyle w:val="11"/>
        <w:tblW w:w="87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4816"/>
        <w:gridCol w:w="38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0" w:hRule="atLeast"/>
        </w:trPr>
        <w:tc>
          <w:tcPr>
            <w:tcW w:w="48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理赔金额</w:t>
            </w:r>
          </w:p>
        </w:tc>
        <w:tc>
          <w:tcPr>
            <w:tcW w:w="38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赔付时效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48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5000元及以下</w:t>
            </w:r>
          </w:p>
        </w:tc>
        <w:tc>
          <w:tcPr>
            <w:tcW w:w="38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1个工作日内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5" w:hRule="atLeast"/>
        </w:trPr>
        <w:tc>
          <w:tcPr>
            <w:tcW w:w="48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5000元-20000元</w:t>
            </w:r>
          </w:p>
        </w:tc>
        <w:tc>
          <w:tcPr>
            <w:tcW w:w="38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3个工作日内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5" w:hRule="atLeast"/>
        </w:trPr>
        <w:tc>
          <w:tcPr>
            <w:tcW w:w="48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20000元-50000元</w:t>
            </w:r>
          </w:p>
        </w:tc>
        <w:tc>
          <w:tcPr>
            <w:tcW w:w="38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5个工作日内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5" w:hRule="atLeast"/>
        </w:trPr>
        <w:tc>
          <w:tcPr>
            <w:tcW w:w="48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50000元-200000元</w:t>
            </w:r>
          </w:p>
        </w:tc>
        <w:tc>
          <w:tcPr>
            <w:tcW w:w="38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7个工作日内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5" w:hRule="atLeast"/>
        </w:trPr>
        <w:tc>
          <w:tcPr>
            <w:tcW w:w="48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大于200000元</w:t>
            </w:r>
          </w:p>
        </w:tc>
        <w:tc>
          <w:tcPr>
            <w:tcW w:w="38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10个工作日内</w:t>
            </w:r>
          </w:p>
        </w:tc>
      </w:tr>
    </w:tbl>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w:t>
      </w:r>
      <w:r>
        <w:rPr>
          <w:rFonts w:hint="eastAsia" w:ascii="宋体" w:hAnsi="宋体"/>
          <w:b/>
          <w:color w:val="000000"/>
          <w:sz w:val="36"/>
          <w:lang w:eastAsia="zh-CN"/>
        </w:rPr>
        <w:t>或负责人</w:t>
      </w:r>
      <w:r>
        <w:rPr>
          <w:rFonts w:hint="eastAsia" w:ascii="宋体" w:hAnsi="宋体"/>
          <w:b/>
          <w:color w:val="000000"/>
          <w:sz w:val="36"/>
        </w:rPr>
        <w:t>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w:t>
      </w:r>
      <w:r>
        <w:rPr>
          <w:rFonts w:hint="eastAsia" w:ascii="宋体" w:hAnsi="宋体"/>
          <w:color w:val="000000"/>
          <w:sz w:val="24"/>
          <w:u w:val="single"/>
          <w:lang w:val="en-US" w:eastAsia="zh-CN"/>
        </w:rPr>
        <w:t xml:space="preserve"> （填法定代表人或负责人） </w:t>
      </w:r>
      <w:r>
        <w:rPr>
          <w:rFonts w:hint="eastAsia" w:ascii="宋体" w:hAnsi="宋体"/>
          <w:color w:val="000000"/>
          <w:sz w:val="24"/>
          <w:u w:val="single"/>
        </w:rPr>
        <w:t>（</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法定代表人或负责人身份证复印件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人或负责人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若为法定代表人或负责人参与的，则无须提供“授权委托书”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w:t>
      </w:r>
      <w:r>
        <w:rPr>
          <w:rFonts w:hint="eastAsia" w:ascii="宋体" w:hAnsi="宋体" w:cs="宋体"/>
          <w:sz w:val="24"/>
          <w:u w:val="single"/>
        </w:rPr>
        <w:t xml:space="preserve"> （填法定代表人或负责人） </w:t>
      </w:r>
      <w:r>
        <w:rPr>
          <w:rFonts w:hint="eastAsia" w:ascii="宋体" w:hAnsi="宋体" w:cs="宋体"/>
          <w:sz w:val="24"/>
        </w:rPr>
        <w:t>，现委托本单位人员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XXX项目XXX采购（采购内容）</w:t>
      </w:r>
      <w:r>
        <w:rPr>
          <w:rFonts w:hint="eastAsia" w:ascii="宋体" w:hAnsi="宋体"/>
          <w:color w:val="auto"/>
          <w:kern w:val="0"/>
          <w:sz w:val="24"/>
          <w:u w:val="none"/>
          <w:lang w:val="en-US" w:eastAsia="zh-CN"/>
        </w:rPr>
        <w:t>竞价</w:t>
      </w:r>
      <w:r>
        <w:rPr>
          <w:rFonts w:hint="eastAsia" w:ascii="宋体" w:hAnsi="宋体" w:cs="宋体"/>
          <w:sz w:val="24"/>
        </w:rPr>
        <w:t>文件、签订合同</w:t>
      </w:r>
      <w:r>
        <w:rPr>
          <w:rFonts w:hint="eastAsia" w:ascii="宋体" w:hAnsi="宋体" w:cs="宋体"/>
          <w:sz w:val="24"/>
          <w:lang w:eastAsia="zh-CN"/>
        </w:rPr>
        <w:t>、出具保单</w:t>
      </w:r>
      <w:r>
        <w:rPr>
          <w:rFonts w:hint="eastAsia" w:ascii="宋体" w:hAnsi="宋体" w:cs="宋体"/>
          <w:sz w:val="24"/>
        </w:rPr>
        <w:t>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法定代表人或负责人身份证复印件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3、营业执照4、资质证书（如有）。5、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法定代表人或负责人：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若为授权委托人参与的，则除提供“授权委托书”外，还须提供“法定代表人或负责人身份证明”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282613287"/>
      <w:bookmarkStart w:id="9" w:name="_Toc138581133"/>
      <w:bookmarkStart w:id="10" w:name="_Toc134953396"/>
      <w:bookmarkStart w:id="11" w:name="_Toc152748104"/>
      <w:bookmarkStart w:id="12" w:name="_Toc138581214"/>
      <w:bookmarkStart w:id="13" w:name="_Toc156059747"/>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6"/>
        <w:spacing w:line="580" w:lineRule="exact"/>
        <w:ind w:left="0" w:leftChars="0" w:firstLine="0" w:firstLineChars="0"/>
        <w:rPr>
          <w:rFonts w:ascii="方正小标宋简体" w:hAnsi="宋体" w:eastAsia="方正小标宋简体"/>
          <w:color w:val="0D0D0D"/>
          <w:sz w:val="44"/>
          <w:szCs w:val="44"/>
        </w:rPr>
      </w:pPr>
    </w:p>
    <w:p>
      <w:pPr>
        <w:pStyle w:val="6"/>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spacing w:line="500" w:lineRule="exact"/>
        <w:rPr>
          <w:rFonts w:hint="eastAsia" w:ascii="宋体" w:hAnsi="宋体"/>
          <w:color w:val="000000"/>
          <w:sz w:val="24"/>
          <w:lang w:eastAsia="zh-CN"/>
        </w:rPr>
      </w:pPr>
      <w:r>
        <w:rPr>
          <w:rFonts w:hint="eastAsia" w:hAnsi="宋体"/>
          <w:color w:val="0D0D0D"/>
          <w:sz w:val="24"/>
        </w:rPr>
        <w:t>致：</w:t>
      </w:r>
      <w:r>
        <w:rPr>
          <w:rFonts w:hint="eastAsia" w:ascii="宋体" w:hAnsi="宋体"/>
          <w:color w:val="000000"/>
          <w:sz w:val="24"/>
          <w:u w:val="single"/>
          <w:lang w:eastAsia="zh-CN"/>
        </w:rPr>
        <w:t>雅安城投工匠建设工程有限公司</w:t>
      </w:r>
    </w:p>
    <w:p>
      <w:pPr>
        <w:pStyle w:val="6"/>
        <w:spacing w:after="0" w:line="500" w:lineRule="exact"/>
        <w:rPr>
          <w:rFonts w:hAnsi="宋体"/>
          <w:color w:val="0D0D0D"/>
          <w:sz w:val="24"/>
        </w:rPr>
      </w:pPr>
      <w:r>
        <w:rPr>
          <w:rFonts w:hint="eastAsia" w:hAnsi="宋体"/>
          <w:color w:val="0D0D0D"/>
          <w:sz w:val="24"/>
        </w:rPr>
        <w:t xml:space="preserve"> 本公司</w:t>
      </w:r>
      <w:r>
        <w:rPr>
          <w:rFonts w:hint="eastAsia" w:ascii="宋体" w:hAnsi="宋体"/>
          <w:color w:val="FF0000"/>
          <w:kern w:val="0"/>
          <w:sz w:val="24"/>
          <w:u w:val="single"/>
          <w:lang w:val="en-US" w:eastAsia="zh-CN"/>
        </w:rPr>
        <w:t xml:space="preserve">   （竞价人公司名称）</w:t>
      </w:r>
      <w:r>
        <w:rPr>
          <w:rFonts w:hint="eastAsia" w:hAnsi="宋体"/>
          <w:color w:val="0D0D0D"/>
          <w:sz w:val="24"/>
        </w:rPr>
        <w:t>参加</w:t>
      </w:r>
      <w:r>
        <w:rPr>
          <w:rFonts w:hint="eastAsia" w:ascii="宋体" w:hAnsi="宋体"/>
          <w:color w:val="FF0000"/>
          <w:kern w:val="0"/>
          <w:sz w:val="24"/>
          <w:u w:val="single"/>
          <w:lang w:val="en-US" w:eastAsia="zh-CN"/>
        </w:rPr>
        <w:t>XXX项目XXX采购（采购内容）</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6"/>
        <w:spacing w:after="0" w:line="500" w:lineRule="exact"/>
        <w:ind w:firstLine="540" w:firstLineChars="225"/>
        <w:rPr>
          <w:rFonts w:hint="eastAsia" w:hAnsi="宋体"/>
          <w:color w:val="0D0D0D"/>
          <w:sz w:val="24"/>
        </w:rPr>
      </w:pPr>
      <w:r>
        <w:rPr>
          <w:rFonts w:hint="eastAsia" w:hAnsi="宋体"/>
          <w:color w:val="0D0D0D"/>
          <w:sz w:val="24"/>
        </w:rPr>
        <w:t>（一）</w:t>
      </w:r>
      <w:r>
        <w:rPr>
          <w:rFonts w:hint="eastAsia" w:hAnsi="宋体"/>
          <w:color w:val="0D0D0D"/>
          <w:sz w:val="24"/>
          <w:lang w:eastAsia="zh-CN"/>
        </w:rPr>
        <w:t>具有良好的商业信誉</w:t>
      </w:r>
      <w:r>
        <w:rPr>
          <w:rFonts w:hint="eastAsia" w:hAnsi="宋体"/>
          <w:color w:val="0D0D0D"/>
          <w:sz w:val="24"/>
        </w:rPr>
        <w:t xml:space="preserve">； </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二</w:t>
      </w:r>
      <w:r>
        <w:rPr>
          <w:rFonts w:hint="eastAsia" w:hAnsi="宋体"/>
          <w:color w:val="0D0D0D"/>
          <w:sz w:val="24"/>
        </w:rPr>
        <w:t>）具有履行合同所必需的条件和能力；</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）有依法缴纳税收和社会保障资金的良好记录；</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）参加本次竞价前三年内，在经营活动中没有重大违法记录；</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（五）递交的投标文件所有材料均真实有效，且与本次竞价其他投标人无关联；</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六</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6"/>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w:t>
      </w:r>
      <w:r>
        <w:rPr>
          <w:rFonts w:hint="eastAsia" w:hAnsi="宋体"/>
          <w:color w:val="0D0D0D"/>
          <w:sz w:val="24"/>
          <w:lang w:eastAsia="zh-CN"/>
        </w:rPr>
        <w:t>选</w:t>
      </w:r>
      <w:r>
        <w:rPr>
          <w:rFonts w:hint="eastAsia" w:hAnsi="宋体"/>
          <w:color w:val="0D0D0D"/>
          <w:sz w:val="24"/>
        </w:rPr>
        <w:t>追究法律责任。</w:t>
      </w:r>
    </w:p>
    <w:p>
      <w:pPr>
        <w:pStyle w:val="6"/>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法定代表人（或负责人）或其委托代理人：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4"/>
        <w:rPr>
          <w:rFonts w:hint="eastAsia"/>
          <w:lang w:val="en-US" w:eastAsia="zh-CN"/>
        </w:rPr>
      </w:pPr>
    </w:p>
    <w:p>
      <w:pPr>
        <w:pStyle w:val="5"/>
        <w:rPr>
          <w:rFonts w:hint="eastAsia"/>
          <w:lang w:val="en-US" w:eastAsia="zh-CN"/>
        </w:rPr>
      </w:pPr>
    </w:p>
    <w:p>
      <w:pPr>
        <w:pStyle w:val="4"/>
        <w:rPr>
          <w:rFonts w:hint="default" w:ascii="Calibri" w:hAnsi="Calibri" w:eastAsia="宋体" w:cs="Times New Roman"/>
          <w:kern w:val="2"/>
          <w:sz w:val="21"/>
          <w:szCs w:val="24"/>
          <w:lang w:val="en-US" w:eastAsia="zh-CN" w:bidi="ar-SA"/>
        </w:rPr>
      </w:pPr>
      <w:r>
        <w:rPr>
          <w:rFonts w:hint="eastAsia"/>
          <w:lang w:val="en-US" w:eastAsia="zh-CN"/>
        </w:rPr>
        <w:t>附件5</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类似业绩证明</w:t>
      </w:r>
      <w:r>
        <w:rPr>
          <w:rFonts w:hint="eastAsia" w:cs="Times New Roman"/>
          <w:b/>
          <w:bCs/>
          <w:color w:val="FF0000"/>
          <w:sz w:val="24"/>
          <w:szCs w:val="24"/>
          <w:lang w:val="en-US" w:eastAsia="zh-CN"/>
        </w:rPr>
        <w:t>（至少附一个近一年以来（2023年1月1日以后）建筑工程雇主责任保险项目金额为10万元以上的保单或保险合同）</w:t>
      </w:r>
    </w:p>
    <w:p>
      <w:pPr>
        <w:pStyle w:val="4"/>
        <w:rPr>
          <w:rFonts w:hint="eastAsia"/>
          <w:lang w:val="en-US" w:eastAsia="zh-CN"/>
        </w:rPr>
      </w:pPr>
    </w:p>
    <w:p>
      <w:pPr>
        <w:pStyle w:val="5"/>
        <w:rPr>
          <w:rFonts w:hint="eastAsia"/>
          <w:lang w:val="en-US" w:eastAsia="zh-CN"/>
        </w:rPr>
      </w:pPr>
    </w:p>
    <w:p>
      <w:pPr>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4"/>
        <w:rPr>
          <w:rFonts w:hint="default" w:ascii="Calibri" w:hAnsi="Calibri" w:eastAsia="宋体" w:cs="Times New Roman"/>
          <w:kern w:val="2"/>
          <w:sz w:val="21"/>
          <w:szCs w:val="24"/>
          <w:lang w:val="en-US" w:eastAsia="zh-CN" w:bidi="ar-SA"/>
        </w:rPr>
      </w:pPr>
      <w:r>
        <w:rPr>
          <w:rFonts w:hint="eastAsia"/>
          <w:lang w:val="en-US" w:eastAsia="zh-CN"/>
        </w:rPr>
        <w:t>附件6</w:t>
      </w:r>
    </w:p>
    <w:p>
      <w:pPr>
        <w:pStyle w:val="4"/>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à.ā">
    <w:altName w:val="黑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jUQibcBAABVAwAADgAAAAAAAAABACAAAAAiAQAAZHJzL2Uyb0RvYy54bWxQSwUGAAAAAAYA&#10;BgBZAQAASwU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EVLlT7cBAABVAwAADgAAAAAAAAABACAAAAAiAQAAZHJzL2Uyb0RvYy54bWxQSwUGAAAAAAYA&#10;BgBZAQAASwU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9AAE03"/>
    <w:multiLevelType w:val="singleLevel"/>
    <w:tmpl w:val="539AAE03"/>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jODIxMjdiZGU0N2I2Mzg1YzkwOWJkZjBmMzBmNjcifQ=="/>
  </w:docVars>
  <w:rsids>
    <w:rsidRoot w:val="00000000"/>
    <w:rsid w:val="000E5D71"/>
    <w:rsid w:val="00296707"/>
    <w:rsid w:val="007B4A44"/>
    <w:rsid w:val="015A40AD"/>
    <w:rsid w:val="01DD59FB"/>
    <w:rsid w:val="0314369E"/>
    <w:rsid w:val="03261624"/>
    <w:rsid w:val="038A7E04"/>
    <w:rsid w:val="03A367D0"/>
    <w:rsid w:val="03EA08A3"/>
    <w:rsid w:val="045F4DED"/>
    <w:rsid w:val="04602913"/>
    <w:rsid w:val="04D170E8"/>
    <w:rsid w:val="05377B18"/>
    <w:rsid w:val="05432019"/>
    <w:rsid w:val="059705B7"/>
    <w:rsid w:val="05DB66F5"/>
    <w:rsid w:val="05F41611"/>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AA26EBA"/>
    <w:rsid w:val="0AFC15E8"/>
    <w:rsid w:val="0B0C7351"/>
    <w:rsid w:val="0B220922"/>
    <w:rsid w:val="0B2D382F"/>
    <w:rsid w:val="0BF7590B"/>
    <w:rsid w:val="0C61547A"/>
    <w:rsid w:val="0C684A5B"/>
    <w:rsid w:val="0C7E602C"/>
    <w:rsid w:val="0D045D48"/>
    <w:rsid w:val="0D3E064B"/>
    <w:rsid w:val="0D431C09"/>
    <w:rsid w:val="0EA904C1"/>
    <w:rsid w:val="0ECA158C"/>
    <w:rsid w:val="0F152C78"/>
    <w:rsid w:val="0F16079E"/>
    <w:rsid w:val="0F44355D"/>
    <w:rsid w:val="0F475870"/>
    <w:rsid w:val="0F6310DF"/>
    <w:rsid w:val="0F9B0CA3"/>
    <w:rsid w:val="10263541"/>
    <w:rsid w:val="10534452"/>
    <w:rsid w:val="10620F9A"/>
    <w:rsid w:val="10FC5772"/>
    <w:rsid w:val="11036B00"/>
    <w:rsid w:val="115832F0"/>
    <w:rsid w:val="11947398"/>
    <w:rsid w:val="11B9690A"/>
    <w:rsid w:val="11DD55A3"/>
    <w:rsid w:val="11E608FC"/>
    <w:rsid w:val="11EC57E6"/>
    <w:rsid w:val="1232769D"/>
    <w:rsid w:val="12687563"/>
    <w:rsid w:val="126B20EE"/>
    <w:rsid w:val="12F901BB"/>
    <w:rsid w:val="133850FD"/>
    <w:rsid w:val="135F30E0"/>
    <w:rsid w:val="1380268A"/>
    <w:rsid w:val="13924EDE"/>
    <w:rsid w:val="13BF1404"/>
    <w:rsid w:val="140C03C2"/>
    <w:rsid w:val="140E7C96"/>
    <w:rsid w:val="14151024"/>
    <w:rsid w:val="141A488D"/>
    <w:rsid w:val="145F4995"/>
    <w:rsid w:val="152943BF"/>
    <w:rsid w:val="156264EB"/>
    <w:rsid w:val="160C6457"/>
    <w:rsid w:val="16CF2F55"/>
    <w:rsid w:val="16E96798"/>
    <w:rsid w:val="17444112"/>
    <w:rsid w:val="17705F66"/>
    <w:rsid w:val="17726BA9"/>
    <w:rsid w:val="17B3510D"/>
    <w:rsid w:val="17F84A4C"/>
    <w:rsid w:val="180A4C18"/>
    <w:rsid w:val="18DA45EA"/>
    <w:rsid w:val="19151AC7"/>
    <w:rsid w:val="1A2969D5"/>
    <w:rsid w:val="1A906615"/>
    <w:rsid w:val="1B0A3EAC"/>
    <w:rsid w:val="1B9709BC"/>
    <w:rsid w:val="1BB76DDC"/>
    <w:rsid w:val="1C534DE0"/>
    <w:rsid w:val="1C7A05BE"/>
    <w:rsid w:val="1D5F77B4"/>
    <w:rsid w:val="1DE53AF9"/>
    <w:rsid w:val="1DFB572F"/>
    <w:rsid w:val="1E873CC8"/>
    <w:rsid w:val="1ED61CF8"/>
    <w:rsid w:val="1F444A62"/>
    <w:rsid w:val="1F51312D"/>
    <w:rsid w:val="1F7F5714"/>
    <w:rsid w:val="1FC81641"/>
    <w:rsid w:val="1FE8583F"/>
    <w:rsid w:val="20062169"/>
    <w:rsid w:val="2020147D"/>
    <w:rsid w:val="20AA080C"/>
    <w:rsid w:val="212C521A"/>
    <w:rsid w:val="2133507B"/>
    <w:rsid w:val="21696E53"/>
    <w:rsid w:val="21AB1252"/>
    <w:rsid w:val="21E60D93"/>
    <w:rsid w:val="21F81FCB"/>
    <w:rsid w:val="22010E3A"/>
    <w:rsid w:val="22714212"/>
    <w:rsid w:val="22941CAE"/>
    <w:rsid w:val="22A85759"/>
    <w:rsid w:val="22DD18A7"/>
    <w:rsid w:val="23952182"/>
    <w:rsid w:val="2423153B"/>
    <w:rsid w:val="245051B0"/>
    <w:rsid w:val="2462251A"/>
    <w:rsid w:val="24E76A0D"/>
    <w:rsid w:val="24EF7175"/>
    <w:rsid w:val="24F46A34"/>
    <w:rsid w:val="25C74149"/>
    <w:rsid w:val="25F807A6"/>
    <w:rsid w:val="260E7FC9"/>
    <w:rsid w:val="2613738E"/>
    <w:rsid w:val="263C73D4"/>
    <w:rsid w:val="2691775D"/>
    <w:rsid w:val="2700638C"/>
    <w:rsid w:val="273325C3"/>
    <w:rsid w:val="27554102"/>
    <w:rsid w:val="275A1718"/>
    <w:rsid w:val="28305FD5"/>
    <w:rsid w:val="28584271"/>
    <w:rsid w:val="287405B8"/>
    <w:rsid w:val="289A5B44"/>
    <w:rsid w:val="28AA6040"/>
    <w:rsid w:val="28D76D98"/>
    <w:rsid w:val="29883BEF"/>
    <w:rsid w:val="29BB3FC4"/>
    <w:rsid w:val="29C95561"/>
    <w:rsid w:val="2AAB228B"/>
    <w:rsid w:val="2ABE1FBE"/>
    <w:rsid w:val="2AF7102C"/>
    <w:rsid w:val="2B97636B"/>
    <w:rsid w:val="2C6E531E"/>
    <w:rsid w:val="2C82551C"/>
    <w:rsid w:val="2C8903AA"/>
    <w:rsid w:val="2CAB0320"/>
    <w:rsid w:val="2CBC5AF7"/>
    <w:rsid w:val="2CC3566A"/>
    <w:rsid w:val="2CE43832"/>
    <w:rsid w:val="2D572256"/>
    <w:rsid w:val="2D636BD1"/>
    <w:rsid w:val="2D947006"/>
    <w:rsid w:val="2DF47AA5"/>
    <w:rsid w:val="2E0423DE"/>
    <w:rsid w:val="2E1B3283"/>
    <w:rsid w:val="2E1D6FFC"/>
    <w:rsid w:val="2E2F7612"/>
    <w:rsid w:val="2E3648D4"/>
    <w:rsid w:val="2E876B6B"/>
    <w:rsid w:val="2EE74D27"/>
    <w:rsid w:val="2F171C9D"/>
    <w:rsid w:val="2F44025A"/>
    <w:rsid w:val="2F7B222C"/>
    <w:rsid w:val="30A25EDE"/>
    <w:rsid w:val="31091AB9"/>
    <w:rsid w:val="310B75DF"/>
    <w:rsid w:val="31271F3F"/>
    <w:rsid w:val="31A43590"/>
    <w:rsid w:val="31F369F1"/>
    <w:rsid w:val="329068A4"/>
    <w:rsid w:val="32C043F9"/>
    <w:rsid w:val="32EC51EE"/>
    <w:rsid w:val="33DA14EB"/>
    <w:rsid w:val="3437693D"/>
    <w:rsid w:val="34713BFD"/>
    <w:rsid w:val="34CE72A2"/>
    <w:rsid w:val="34D128EE"/>
    <w:rsid w:val="35284C04"/>
    <w:rsid w:val="355C3E01"/>
    <w:rsid w:val="359A7184"/>
    <w:rsid w:val="35BE10C4"/>
    <w:rsid w:val="36B10C29"/>
    <w:rsid w:val="379320DC"/>
    <w:rsid w:val="37D20E57"/>
    <w:rsid w:val="384F70AD"/>
    <w:rsid w:val="385278E2"/>
    <w:rsid w:val="3878269F"/>
    <w:rsid w:val="38912AC0"/>
    <w:rsid w:val="389C3213"/>
    <w:rsid w:val="38ED3A6E"/>
    <w:rsid w:val="38FD0155"/>
    <w:rsid w:val="39292CF8"/>
    <w:rsid w:val="39581830"/>
    <w:rsid w:val="39E9692C"/>
    <w:rsid w:val="3A157721"/>
    <w:rsid w:val="3AA7481D"/>
    <w:rsid w:val="3AE81399"/>
    <w:rsid w:val="3B2832E2"/>
    <w:rsid w:val="3B4200A1"/>
    <w:rsid w:val="3B4A33FA"/>
    <w:rsid w:val="3B7F452C"/>
    <w:rsid w:val="3BA174BE"/>
    <w:rsid w:val="3BD038FF"/>
    <w:rsid w:val="3C15191D"/>
    <w:rsid w:val="3C1F4887"/>
    <w:rsid w:val="3C236125"/>
    <w:rsid w:val="3C4F6F1A"/>
    <w:rsid w:val="3C6C6795"/>
    <w:rsid w:val="3CB66F99"/>
    <w:rsid w:val="3CD613E9"/>
    <w:rsid w:val="3D145A6E"/>
    <w:rsid w:val="3D6417AF"/>
    <w:rsid w:val="3D762284"/>
    <w:rsid w:val="3DA235CE"/>
    <w:rsid w:val="3DAC3EF8"/>
    <w:rsid w:val="3DB66B25"/>
    <w:rsid w:val="3DE80316"/>
    <w:rsid w:val="3E42660A"/>
    <w:rsid w:val="3EDD3FE3"/>
    <w:rsid w:val="3EE049D4"/>
    <w:rsid w:val="3F172887"/>
    <w:rsid w:val="3F6F51DD"/>
    <w:rsid w:val="405014B2"/>
    <w:rsid w:val="40501DC1"/>
    <w:rsid w:val="413466DE"/>
    <w:rsid w:val="415F7756"/>
    <w:rsid w:val="41A91D47"/>
    <w:rsid w:val="41B63597"/>
    <w:rsid w:val="4214206C"/>
    <w:rsid w:val="42366486"/>
    <w:rsid w:val="42472441"/>
    <w:rsid w:val="42905B96"/>
    <w:rsid w:val="42BD444E"/>
    <w:rsid w:val="42BD5B38"/>
    <w:rsid w:val="42CA656A"/>
    <w:rsid w:val="43087E22"/>
    <w:rsid w:val="434C41B3"/>
    <w:rsid w:val="43D321DE"/>
    <w:rsid w:val="43D47D05"/>
    <w:rsid w:val="440C1383"/>
    <w:rsid w:val="44384737"/>
    <w:rsid w:val="445D7CFA"/>
    <w:rsid w:val="449C102A"/>
    <w:rsid w:val="44A70C07"/>
    <w:rsid w:val="45594DED"/>
    <w:rsid w:val="456652D4"/>
    <w:rsid w:val="45667082"/>
    <w:rsid w:val="45F433AC"/>
    <w:rsid w:val="466E26B2"/>
    <w:rsid w:val="46767537"/>
    <w:rsid w:val="46DE0ED1"/>
    <w:rsid w:val="470923BB"/>
    <w:rsid w:val="48141032"/>
    <w:rsid w:val="484336AB"/>
    <w:rsid w:val="484E49E0"/>
    <w:rsid w:val="487D6BBD"/>
    <w:rsid w:val="488A3088"/>
    <w:rsid w:val="48961A2D"/>
    <w:rsid w:val="48BF2D31"/>
    <w:rsid w:val="48D662CD"/>
    <w:rsid w:val="49373210"/>
    <w:rsid w:val="49A14B2D"/>
    <w:rsid w:val="49E54A1A"/>
    <w:rsid w:val="4A275032"/>
    <w:rsid w:val="4A3459A1"/>
    <w:rsid w:val="4A3D2AA8"/>
    <w:rsid w:val="4A6C0C97"/>
    <w:rsid w:val="4A954692"/>
    <w:rsid w:val="4AA80403"/>
    <w:rsid w:val="4B3317B5"/>
    <w:rsid w:val="4B4E4840"/>
    <w:rsid w:val="4C3A6B73"/>
    <w:rsid w:val="4C8B2E61"/>
    <w:rsid w:val="4CEF795D"/>
    <w:rsid w:val="4CF03E01"/>
    <w:rsid w:val="4D0F1DAD"/>
    <w:rsid w:val="4D685643"/>
    <w:rsid w:val="4DB841F3"/>
    <w:rsid w:val="4DD728CB"/>
    <w:rsid w:val="4DED7995"/>
    <w:rsid w:val="4E345F70"/>
    <w:rsid w:val="4E4D5283"/>
    <w:rsid w:val="4E616639"/>
    <w:rsid w:val="4EB72315"/>
    <w:rsid w:val="4ED60DD5"/>
    <w:rsid w:val="4EDE7C89"/>
    <w:rsid w:val="4F005E52"/>
    <w:rsid w:val="4F5738ED"/>
    <w:rsid w:val="503F29AA"/>
    <w:rsid w:val="50962F12"/>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5E1B24"/>
    <w:rsid w:val="55A7171D"/>
    <w:rsid w:val="567E583F"/>
    <w:rsid w:val="56DC53F6"/>
    <w:rsid w:val="56FC7846"/>
    <w:rsid w:val="571D6CF2"/>
    <w:rsid w:val="577675F9"/>
    <w:rsid w:val="57E9601D"/>
    <w:rsid w:val="580544D9"/>
    <w:rsid w:val="58D345D7"/>
    <w:rsid w:val="590D1897"/>
    <w:rsid w:val="59D81D4B"/>
    <w:rsid w:val="59DB4C3D"/>
    <w:rsid w:val="5A080E22"/>
    <w:rsid w:val="5A8042EB"/>
    <w:rsid w:val="5A931936"/>
    <w:rsid w:val="5AB04A47"/>
    <w:rsid w:val="5B612EEB"/>
    <w:rsid w:val="5C71038F"/>
    <w:rsid w:val="5C78171D"/>
    <w:rsid w:val="5C8E3FF5"/>
    <w:rsid w:val="5CD64696"/>
    <w:rsid w:val="5D443CF5"/>
    <w:rsid w:val="5D855D7E"/>
    <w:rsid w:val="5DD92690"/>
    <w:rsid w:val="5DF919EB"/>
    <w:rsid w:val="5DFE7EEA"/>
    <w:rsid w:val="5E6C57F0"/>
    <w:rsid w:val="5E766130"/>
    <w:rsid w:val="5EDA046D"/>
    <w:rsid w:val="5EFC4888"/>
    <w:rsid w:val="5F656C34"/>
    <w:rsid w:val="5FB46F10"/>
    <w:rsid w:val="5FD24E2C"/>
    <w:rsid w:val="5FF13CC0"/>
    <w:rsid w:val="601D5B39"/>
    <w:rsid w:val="606D6DE0"/>
    <w:rsid w:val="60A26329"/>
    <w:rsid w:val="613D1187"/>
    <w:rsid w:val="6155035D"/>
    <w:rsid w:val="616B161C"/>
    <w:rsid w:val="62395615"/>
    <w:rsid w:val="628A21AA"/>
    <w:rsid w:val="62976675"/>
    <w:rsid w:val="62A74B0A"/>
    <w:rsid w:val="62C92CD3"/>
    <w:rsid w:val="63141A74"/>
    <w:rsid w:val="635307EE"/>
    <w:rsid w:val="638B00E1"/>
    <w:rsid w:val="63927568"/>
    <w:rsid w:val="63A8305A"/>
    <w:rsid w:val="63BA6ABF"/>
    <w:rsid w:val="63F0603D"/>
    <w:rsid w:val="64215E1B"/>
    <w:rsid w:val="642F3009"/>
    <w:rsid w:val="644C6694"/>
    <w:rsid w:val="647C54E3"/>
    <w:rsid w:val="64874BF3"/>
    <w:rsid w:val="64EC4A56"/>
    <w:rsid w:val="64F63B27"/>
    <w:rsid w:val="650049A6"/>
    <w:rsid w:val="65072E52"/>
    <w:rsid w:val="65AC2438"/>
    <w:rsid w:val="661A55F3"/>
    <w:rsid w:val="66344907"/>
    <w:rsid w:val="6659497C"/>
    <w:rsid w:val="66E80E2A"/>
    <w:rsid w:val="67EC3C77"/>
    <w:rsid w:val="68060525"/>
    <w:rsid w:val="681F15E7"/>
    <w:rsid w:val="68C857DA"/>
    <w:rsid w:val="692E7D33"/>
    <w:rsid w:val="6A7E25F5"/>
    <w:rsid w:val="6A852C01"/>
    <w:rsid w:val="6A8A722B"/>
    <w:rsid w:val="6A910658"/>
    <w:rsid w:val="6AB26742"/>
    <w:rsid w:val="6ABA1153"/>
    <w:rsid w:val="6ACD7AA4"/>
    <w:rsid w:val="6AD20B92"/>
    <w:rsid w:val="6B1940CB"/>
    <w:rsid w:val="6BFF7183"/>
    <w:rsid w:val="6C1E2C36"/>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183173"/>
    <w:rsid w:val="703B4AAA"/>
    <w:rsid w:val="70480FAF"/>
    <w:rsid w:val="70796E02"/>
    <w:rsid w:val="70B908CA"/>
    <w:rsid w:val="710B44B6"/>
    <w:rsid w:val="717402AD"/>
    <w:rsid w:val="71A87053"/>
    <w:rsid w:val="71BC67C6"/>
    <w:rsid w:val="725D6F93"/>
    <w:rsid w:val="72964253"/>
    <w:rsid w:val="72C05B3A"/>
    <w:rsid w:val="73A330CC"/>
    <w:rsid w:val="73D2575F"/>
    <w:rsid w:val="7416389E"/>
    <w:rsid w:val="748C0004"/>
    <w:rsid w:val="74D44B0B"/>
    <w:rsid w:val="74FC2045"/>
    <w:rsid w:val="75387844"/>
    <w:rsid w:val="75772080"/>
    <w:rsid w:val="7611632C"/>
    <w:rsid w:val="76431FA3"/>
    <w:rsid w:val="765C57B4"/>
    <w:rsid w:val="768F43A1"/>
    <w:rsid w:val="76CA7133"/>
    <w:rsid w:val="77974CF6"/>
    <w:rsid w:val="78625F6B"/>
    <w:rsid w:val="78830352"/>
    <w:rsid w:val="78A31478"/>
    <w:rsid w:val="78A5551D"/>
    <w:rsid w:val="78FD502C"/>
    <w:rsid w:val="79A454A8"/>
    <w:rsid w:val="7ACD45C5"/>
    <w:rsid w:val="7AFB1A3F"/>
    <w:rsid w:val="7B2A3852"/>
    <w:rsid w:val="7B4004BF"/>
    <w:rsid w:val="7B673E15"/>
    <w:rsid w:val="7B851222"/>
    <w:rsid w:val="7B9F061D"/>
    <w:rsid w:val="7C8A7395"/>
    <w:rsid w:val="7CA83501"/>
    <w:rsid w:val="7D9F4904"/>
    <w:rsid w:val="7DCF4ABD"/>
    <w:rsid w:val="7DD32800"/>
    <w:rsid w:val="7E584AB3"/>
    <w:rsid w:val="7E6728F4"/>
    <w:rsid w:val="7E9417F3"/>
    <w:rsid w:val="7F7E7B50"/>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styleId="3">
    <w:name w:val="Normal Indent"/>
    <w:basedOn w:val="1"/>
    <w:qFormat/>
    <w:uiPriority w:val="0"/>
    <w:pPr>
      <w:widowControl/>
      <w:ind w:firstLine="420"/>
      <w:jc w:val="left"/>
    </w:pPr>
    <w:rPr>
      <w:kern w:val="0"/>
      <w:sz w:val="20"/>
      <w:szCs w:val="20"/>
    </w:rPr>
  </w:style>
  <w:style w:type="paragraph" w:styleId="4">
    <w:name w:val="Body Text"/>
    <w:basedOn w:val="1"/>
    <w:next w:val="5"/>
    <w:qFormat/>
    <w:uiPriority w:val="0"/>
    <w:pPr>
      <w:suppressAutoHyphens/>
      <w:spacing w:after="120"/>
    </w:pPr>
    <w:rPr>
      <w:kern w:val="1"/>
      <w:szCs w:val="20"/>
      <w:lang w:eastAsia="ar-SA"/>
    </w:rPr>
  </w:style>
  <w:style w:type="paragraph" w:styleId="5">
    <w:name w:val="Block Text"/>
    <w:basedOn w:val="1"/>
    <w:next w:val="1"/>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Body Text Indent"/>
    <w:basedOn w:val="1"/>
    <w:next w:val="1"/>
    <w:qFormat/>
    <w:uiPriority w:val="0"/>
    <w:pPr>
      <w:spacing w:line="500" w:lineRule="exact"/>
      <w:ind w:firstLine="560" w:firstLineChars="200"/>
    </w:pPr>
    <w:rPr>
      <w:sz w:val="28"/>
    </w:rPr>
  </w:style>
  <w:style w:type="paragraph" w:styleId="7">
    <w:name w:val="Plain Text"/>
    <w:basedOn w:val="1"/>
    <w:qFormat/>
    <w:uiPriority w:val="0"/>
    <w:rPr>
      <w:rFonts w:hint="eastAsia" w:ascii="宋体" w:hAnsi="Courier New" w:eastAsia="仿宋_GB2312"/>
      <w:sz w:val="10"/>
      <w:szCs w:val="20"/>
    </w:rPr>
  </w:style>
  <w:style w:type="paragraph" w:styleId="8">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9">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0">
    <w:name w:val="Body Text First Indent 2"/>
    <w:basedOn w:val="6"/>
    <w:qFormat/>
    <w:uiPriority w:val="0"/>
    <w:pPr>
      <w:ind w:firstLine="200" w:firstLineChars="200"/>
    </w:pPr>
  </w:style>
  <w:style w:type="character" w:styleId="13">
    <w:name w:val="page number"/>
    <w:basedOn w:val="14"/>
    <w:qFormat/>
    <w:uiPriority w:val="0"/>
  </w:style>
  <w:style w:type="character" w:customStyle="1" w:styleId="14">
    <w:name w:val="默认段落字体1"/>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5228</Words>
  <Characters>5394</Characters>
  <Lines>0</Lines>
  <Paragraphs>0</Paragraphs>
  <TotalTime>60</TotalTime>
  <ScaleCrop>false</ScaleCrop>
  <LinksUpToDate>false</LinksUpToDate>
  <CharactersWithSpaces>6203</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Administrator</cp:lastModifiedBy>
  <cp:lastPrinted>2024-01-08T07:22:38Z</cp:lastPrinted>
  <dcterms:modified xsi:type="dcterms:W3CDTF">2024-01-08T07:26:01Z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commondata">
    <vt:lpwstr>eyJoZGlkIjoiOGE0YWM2YTgzNDZmMDI4NzlmYmU4NWQ2ZDE5YmFmY2UifQ==</vt:lpwstr>
  </property>
  <property fmtid="{D5CDD505-2E9C-101B-9397-08002B2CF9AE}" pid="4" name="ICV">
    <vt:lpwstr>EB1E9FE8E4C74EF7BCD601548CCB60C4</vt:lpwstr>
  </property>
</Properties>
</file>