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Toc132523694"/>
      <w:bookmarkStart w:id="1" w:name="_Toc132523423"/>
      <w:bookmarkStart w:id="2" w:name="_Toc132111857"/>
      <w:bookmarkStart w:id="3" w:name="_Toc132000202"/>
      <w:bookmarkStart w:id="4" w:name="_Toc282613245"/>
      <w:bookmarkStart w:id="5" w:name="_Toc132265208"/>
    </w:p>
    <w:bookmarkEnd w:id="0"/>
    <w:bookmarkEnd w:id="1"/>
    <w:bookmarkEnd w:id="2"/>
    <w:bookmarkEnd w:id="3"/>
    <w:bookmarkEnd w:id="4"/>
    <w:bookmarkEnd w:id="5"/>
    <w:p>
      <w:pPr>
        <w:spacing w:line="500" w:lineRule="exact"/>
        <w:rPr>
          <w:rFonts w:ascii="宋体" w:hAnsi="宋体"/>
          <w:b/>
          <w:color w:val="000000"/>
          <w:sz w:val="28"/>
          <w:szCs w:val="28"/>
        </w:rPr>
      </w:pPr>
      <w:bookmarkStart w:id="6" w:name="_Toc132265245"/>
      <w:bookmarkStart w:id="7" w:name="_Toc132111894"/>
      <w:bookmarkStart w:id="8" w:name="_Toc132523462"/>
      <w:bookmarkStart w:id="9" w:name="_Toc130193156"/>
      <w:bookmarkStart w:id="10" w:name="_Toc282613282"/>
      <w:bookmarkStart w:id="11" w:name="_Toc132523733"/>
      <w:bookmarkStart w:id="12" w:name="_Toc132000241"/>
      <w:bookmarkStart w:id="13" w:name="_Toc131305914"/>
    </w:p>
    <w:bookmarkEnd w:id="6"/>
    <w:bookmarkEnd w:id="7"/>
    <w:bookmarkEnd w:id="8"/>
    <w:bookmarkEnd w:id="9"/>
    <w:bookmarkEnd w:id="10"/>
    <w:bookmarkEnd w:id="11"/>
    <w:bookmarkEnd w:id="12"/>
    <w:p>
      <w:pPr>
        <w:spacing w:line="1000" w:lineRule="exact"/>
        <w:jc w:val="center"/>
        <w:rPr>
          <w:rFonts w:ascii="方正小标宋简体" w:hAnsi="宋体" w:eastAsia="方正小标宋简体"/>
          <w:color w:val="000000"/>
          <w:spacing w:val="78"/>
          <w:sz w:val="72"/>
          <w:szCs w:val="72"/>
        </w:rPr>
      </w:pPr>
      <w:bookmarkStart w:id="14" w:name="_Toc168197338"/>
      <w:r>
        <w:rPr>
          <w:rFonts w:hint="eastAsia" w:ascii="方正小标宋简体" w:hAnsi="宋体" w:eastAsia="方正小标宋简体"/>
          <w:color w:val="000000"/>
          <w:spacing w:val="78"/>
          <w:sz w:val="72"/>
          <w:szCs w:val="72"/>
          <w:lang w:val="en-US" w:eastAsia="zh-CN"/>
        </w:rPr>
        <w:t>合作</w:t>
      </w:r>
      <w:r>
        <w:rPr>
          <w:rFonts w:hint="eastAsia" w:ascii="方正小标宋简体" w:hAnsi="宋体" w:eastAsia="方正小标宋简体"/>
          <w:color w:val="000000"/>
          <w:spacing w:val="78"/>
          <w:sz w:val="72"/>
          <w:szCs w:val="72"/>
        </w:rPr>
        <w:t>谈判文件</w:t>
      </w:r>
    </w:p>
    <w:p>
      <w:pPr>
        <w:spacing w:line="500" w:lineRule="exact"/>
        <w:jc w:val="center"/>
        <w:rPr>
          <w:rFonts w:ascii="宋体" w:hAnsi="宋体"/>
          <w:b/>
          <w:color w:val="000000"/>
          <w:sz w:val="36"/>
        </w:rPr>
      </w:pPr>
      <w:r>
        <w:rPr>
          <w:rFonts w:hint="eastAsia" w:ascii="宋体" w:hAnsi="宋体" w:eastAsia="宋体"/>
          <w:color w:val="000000"/>
          <w:lang w:eastAsia="zh-CN"/>
        </w:rPr>
        <w:drawing>
          <wp:anchor distT="0" distB="0" distL="114935" distR="114935" simplePos="0" relativeHeight="251659264" behindDoc="0" locked="0" layoutInCell="1" allowOverlap="1">
            <wp:simplePos x="0" y="0"/>
            <wp:positionH relativeFrom="column">
              <wp:posOffset>2072640</wp:posOffset>
            </wp:positionH>
            <wp:positionV relativeFrom="paragraph">
              <wp:posOffset>233045</wp:posOffset>
            </wp:positionV>
            <wp:extent cx="1994535" cy="1894840"/>
            <wp:effectExtent l="0" t="0" r="5715" b="10160"/>
            <wp:wrapNone/>
            <wp:docPr id="7" name="图片 7"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anchor>
        </w:drawing>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ind w:firstLine="360" w:firstLineChars="100"/>
        <w:jc w:val="center"/>
        <w:rPr>
          <w:rFonts w:hint="eastAsia" w:ascii="黑体" w:hAnsi="黑体" w:eastAsia="黑体"/>
          <w:color w:val="000000"/>
          <w:sz w:val="36"/>
        </w:rPr>
      </w:pPr>
    </w:p>
    <w:p>
      <w:pPr>
        <w:ind w:firstLine="360" w:firstLineChars="100"/>
        <w:jc w:val="center"/>
        <w:rPr>
          <w:rFonts w:hint="eastAsia" w:ascii="黑体" w:hAnsi="黑体" w:eastAsia="黑体"/>
          <w:color w:val="000000"/>
          <w:sz w:val="36"/>
        </w:rPr>
      </w:pPr>
    </w:p>
    <w:p>
      <w:pPr>
        <w:ind w:firstLine="360" w:firstLineChars="100"/>
        <w:jc w:val="center"/>
        <w:rPr>
          <w:rFonts w:hint="eastAsia" w:ascii="黑体" w:hAnsi="黑体" w:eastAsia="黑体"/>
          <w:color w:val="000000"/>
          <w:sz w:val="36"/>
        </w:rPr>
      </w:pPr>
    </w:p>
    <w:p>
      <w:pPr>
        <w:ind w:firstLine="360" w:firstLineChars="100"/>
        <w:jc w:val="center"/>
        <w:rPr>
          <w:rFonts w:ascii="宋体" w:hAnsi="宋体" w:eastAsia="黑体"/>
          <w:b/>
          <w:sz w:val="36"/>
          <w:szCs w:val="36"/>
        </w:rPr>
      </w:pPr>
      <w:r>
        <w:rPr>
          <w:rFonts w:hint="eastAsia" w:ascii="黑体" w:hAnsi="黑体" w:eastAsia="黑体"/>
          <w:color w:val="000000"/>
          <w:sz w:val="36"/>
        </w:rPr>
        <w:t>项目名称：城投建工</w:t>
      </w:r>
      <w:r>
        <w:rPr>
          <w:rFonts w:hint="eastAsia" w:ascii="黑体" w:hAnsi="黑体" w:eastAsia="黑体"/>
          <w:color w:val="000000"/>
          <w:sz w:val="36"/>
          <w:lang w:eastAsia="zh-CN"/>
        </w:rPr>
        <w:t>、市政公司</w:t>
      </w:r>
      <w:r>
        <w:rPr>
          <w:rFonts w:hint="eastAsia" w:ascii="黑体" w:hAnsi="黑体" w:eastAsia="黑体"/>
          <w:color w:val="000000"/>
          <w:sz w:val="36"/>
          <w:lang w:val="en-US" w:eastAsia="zh-CN"/>
        </w:rPr>
        <w:t>页岩砖年度</w:t>
      </w:r>
      <w:r>
        <w:rPr>
          <w:rFonts w:hint="eastAsia" w:ascii="黑体" w:hAnsi="黑体" w:eastAsia="黑体"/>
          <w:color w:val="000000"/>
          <w:sz w:val="36"/>
          <w:lang w:eastAsia="zh-CN"/>
        </w:rPr>
        <w:t>集中</w:t>
      </w:r>
      <w:r>
        <w:rPr>
          <w:rFonts w:hint="eastAsia" w:ascii="黑体" w:hAnsi="黑体" w:eastAsia="黑体"/>
          <w:color w:val="000000"/>
          <w:sz w:val="36"/>
        </w:rPr>
        <w:t>采购</w:t>
      </w:r>
    </w:p>
    <w:p>
      <w:pPr>
        <w:spacing w:line="360" w:lineRule="exact"/>
        <w:ind w:left="1961" w:leftChars="172" w:hanging="1600" w:hangingChars="500"/>
        <w:jc w:val="left"/>
        <w:rPr>
          <w:rFonts w:ascii="黑体" w:hAnsi="黑体" w:eastAsia="黑体"/>
          <w:color w:val="000000"/>
          <w:sz w:val="32"/>
          <w:szCs w:val="32"/>
          <w:u w:val="single"/>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rPr>
        <w:t>谈判单位（加盖公章）：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hint="eastAsia" w:ascii="黑体" w:hAnsi="黑体" w:eastAsia="黑体"/>
          <w:color w:val="000000"/>
        </w:rPr>
      </w:pPr>
      <w:r>
        <w:rPr>
          <w:rFonts w:hint="eastAsia" w:ascii="黑体" w:hAnsi="黑体" w:eastAsia="黑体"/>
          <w:color w:val="000000"/>
        </w:rPr>
        <w:br w:type="page"/>
      </w:r>
      <w:bookmarkEnd w:id="14"/>
      <w:bookmarkStart w:id="15" w:name="_Toc132265249"/>
      <w:bookmarkStart w:id="16" w:name="_Toc282613285"/>
      <w:bookmarkStart w:id="17" w:name="_Toc132111898"/>
      <w:bookmarkStart w:id="18" w:name="_Toc132523466"/>
      <w:bookmarkStart w:id="19" w:name="_Toc132523737"/>
      <w:bookmarkStart w:id="20" w:name="_Toc131305915"/>
    </w:p>
    <w:p>
      <w:pPr>
        <w:spacing w:line="500" w:lineRule="exact"/>
        <w:rPr>
          <w:rFonts w:hint="eastAsia" w:ascii="宋体" w:hAnsi="宋体"/>
          <w:color w:val="000000"/>
          <w:sz w:val="24"/>
          <w:szCs w:val="24"/>
        </w:rPr>
      </w:pPr>
      <w:r>
        <w:rPr>
          <w:rFonts w:hint="eastAsia" w:ascii="宋体" w:hAnsi="宋体"/>
          <w:color w:val="000000"/>
          <w:sz w:val="24"/>
          <w:szCs w:val="24"/>
        </w:rPr>
        <w:t>附件1</w:t>
      </w:r>
    </w:p>
    <w:p>
      <w:pPr>
        <w:spacing w:line="500" w:lineRule="exact"/>
        <w:jc w:val="center"/>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lang w:val="en-US" w:eastAsia="zh-CN"/>
        </w:rPr>
        <w:t>合作谈判</w:t>
      </w:r>
      <w:r>
        <w:rPr>
          <w:rFonts w:hint="eastAsia" w:ascii="方正小标宋简体" w:hAnsi="宋体" w:eastAsia="方正小标宋简体"/>
          <w:color w:val="000000"/>
          <w:sz w:val="44"/>
          <w:szCs w:val="44"/>
        </w:rPr>
        <w:t>响应函</w:t>
      </w:r>
    </w:p>
    <w:p>
      <w:pPr>
        <w:pStyle w:val="2"/>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lang w:eastAsia="zh-CN"/>
        </w:rPr>
      </w:pPr>
      <w:r>
        <w:rPr>
          <w:rFonts w:hint="eastAsia" w:ascii="宋体" w:hAnsi="宋体" w:cs="宋体"/>
          <w:sz w:val="24"/>
        </w:rPr>
        <w:t>致：</w:t>
      </w:r>
      <w:r>
        <w:rPr>
          <w:rFonts w:hint="eastAsia" w:ascii="宋体" w:hAnsi="宋体" w:cs="宋体"/>
          <w:sz w:val="24"/>
          <w:u w:val="single"/>
        </w:rPr>
        <w:t>雅安城投建筑工程有限公司</w:t>
      </w:r>
      <w:r>
        <w:rPr>
          <w:rFonts w:hint="eastAsia" w:ascii="宋体" w:hAnsi="宋体" w:cs="宋体"/>
          <w:sz w:val="24"/>
          <w:u w:val="single"/>
          <w:lang w:eastAsia="zh-CN"/>
        </w:rPr>
        <w:t>、雅安市市政建设工程有限公司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根据贵公司发布的“</w:t>
      </w:r>
      <w:r>
        <w:rPr>
          <w:rFonts w:hint="eastAsia" w:ascii="宋体" w:hAnsi="宋体" w:eastAsia="宋体" w:cs="宋体"/>
          <w:sz w:val="24"/>
          <w:u w:val="single"/>
          <w:lang w:val="en-US" w:eastAsia="zh-CN"/>
        </w:rPr>
        <w:t>城投建工、市政公司页岩砖</w:t>
      </w:r>
      <w:r>
        <w:rPr>
          <w:rFonts w:hint="eastAsia" w:ascii="宋体" w:hAnsi="宋体" w:cs="宋体"/>
          <w:sz w:val="24"/>
          <w:u w:val="single"/>
          <w:lang w:val="en-US" w:eastAsia="zh-CN"/>
        </w:rPr>
        <w:t>年度</w:t>
      </w:r>
      <w:r>
        <w:rPr>
          <w:rFonts w:hint="eastAsia" w:ascii="宋体" w:hAnsi="宋体" w:eastAsia="宋体" w:cs="宋体"/>
          <w:sz w:val="24"/>
          <w:u w:val="single"/>
          <w:lang w:val="en-US" w:eastAsia="zh-CN"/>
        </w:rPr>
        <w:t>集中采购</w:t>
      </w:r>
      <w:r>
        <w:rPr>
          <w:rFonts w:hint="eastAsia" w:ascii="宋体" w:hAnsi="宋体" w:cs="宋体"/>
          <w:sz w:val="24"/>
        </w:rPr>
        <w:t>”的</w:t>
      </w:r>
      <w:r>
        <w:rPr>
          <w:rFonts w:hint="eastAsia" w:ascii="宋体" w:hAnsi="宋体" w:cs="宋体"/>
          <w:sz w:val="24"/>
          <w:lang w:val="en-US" w:eastAsia="zh-CN"/>
        </w:rPr>
        <w:t>合作谈判</w:t>
      </w:r>
      <w:r>
        <w:rPr>
          <w:rFonts w:hint="eastAsia" w:ascii="宋体" w:hAnsi="宋体" w:cs="宋体"/>
          <w:sz w:val="24"/>
        </w:rPr>
        <w:t>公告，我公司经研究，决定参与本次</w:t>
      </w:r>
      <w:r>
        <w:rPr>
          <w:rFonts w:hint="eastAsia" w:ascii="宋体" w:hAnsi="宋体" w:cs="宋体"/>
          <w:sz w:val="24"/>
          <w:lang w:val="en-US" w:eastAsia="zh-CN"/>
        </w:rPr>
        <w:t>合作谈判</w:t>
      </w:r>
      <w:r>
        <w:rPr>
          <w:rFonts w:hint="eastAsia" w:ascii="宋体" w:hAnsi="宋体" w:cs="宋体"/>
          <w:sz w:val="24"/>
        </w:rPr>
        <w:t>，并提交下述文件</w:t>
      </w:r>
      <w:r>
        <w:rPr>
          <w:rFonts w:hint="eastAsia" w:ascii="宋体" w:hAnsi="宋体" w:cs="宋体"/>
          <w:sz w:val="24"/>
          <w:lang w:val="en-US" w:eastAsia="zh-CN"/>
        </w:rPr>
        <w:t>一</w:t>
      </w:r>
      <w:r>
        <w:rPr>
          <w:rFonts w:hint="eastAsia" w:ascii="宋体" w:hAnsi="宋体" w:cs="宋体"/>
          <w:sz w:val="24"/>
        </w:rPr>
        <w:t>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（1）</w:t>
      </w:r>
      <w:r>
        <w:rPr>
          <w:rFonts w:hint="eastAsia" w:ascii="宋体" w:hAnsi="宋体" w:cs="宋体"/>
          <w:sz w:val="24"/>
          <w:lang w:val="en-US" w:eastAsia="zh-CN"/>
        </w:rPr>
        <w:t>合作谈判</w:t>
      </w:r>
      <w:r>
        <w:rPr>
          <w:rFonts w:hint="eastAsia" w:ascii="宋体" w:hAnsi="宋体" w:cs="宋体"/>
          <w:sz w:val="24"/>
        </w:rPr>
        <w:t>响应函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r>
        <w:rPr>
          <w:rFonts w:hint="eastAsia" w:ascii="宋体" w:hAnsi="宋体" w:cs="宋体"/>
          <w:sz w:val="24"/>
          <w:lang w:eastAsia="zh-CN"/>
        </w:rPr>
        <w:t>（</w:t>
      </w:r>
      <w:r>
        <w:rPr>
          <w:rFonts w:hint="eastAsia" w:ascii="宋体" w:hAnsi="宋体" w:cs="宋体"/>
          <w:sz w:val="24"/>
          <w:lang w:val="en-US" w:eastAsia="zh-CN"/>
        </w:rPr>
        <w:t>2</w:t>
      </w:r>
      <w:r>
        <w:rPr>
          <w:rFonts w:hint="eastAsia" w:ascii="宋体" w:hAnsi="宋体" w:cs="宋体"/>
          <w:sz w:val="24"/>
          <w:lang w:eastAsia="zh-CN"/>
        </w:rPr>
        <w:t>）报价表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r>
        <w:rPr>
          <w:rFonts w:hint="eastAsia" w:ascii="宋体" w:hAnsi="宋体" w:cs="宋体"/>
          <w:sz w:val="24"/>
        </w:rPr>
        <w:t>（</w:t>
      </w:r>
      <w:r>
        <w:rPr>
          <w:rFonts w:hint="eastAsia" w:ascii="宋体" w:hAnsi="宋体" w:cs="宋体"/>
          <w:sz w:val="24"/>
          <w:lang w:val="en-US" w:eastAsia="zh-CN"/>
        </w:rPr>
        <w:t>3</w:t>
      </w:r>
      <w:r>
        <w:rPr>
          <w:rFonts w:hint="eastAsia" w:ascii="宋体" w:hAnsi="宋体" w:cs="宋体"/>
          <w:sz w:val="24"/>
        </w:rPr>
        <w:t>）</w:t>
      </w:r>
      <w:r>
        <w:rPr>
          <w:rFonts w:hint="eastAsia" w:ascii="宋体" w:hAnsi="宋体" w:cs="宋体"/>
          <w:sz w:val="24"/>
          <w:lang w:val="en-US" w:eastAsia="zh-CN"/>
        </w:rPr>
        <w:t>谈判单位</w:t>
      </w:r>
      <w:r>
        <w:rPr>
          <w:rFonts w:hint="eastAsia" w:ascii="宋体" w:hAnsi="宋体" w:cs="宋体"/>
          <w:sz w:val="24"/>
        </w:rPr>
        <w:t>基本情况介绍</w:t>
      </w:r>
      <w:r>
        <w:rPr>
          <w:rFonts w:hint="eastAsia" w:ascii="宋体" w:hAnsi="宋体" w:cs="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4</w:t>
      </w:r>
      <w:r>
        <w:rPr>
          <w:rFonts w:hint="eastAsia" w:ascii="宋体" w:hAnsi="宋体" w:cs="宋体"/>
          <w:sz w:val="24"/>
        </w:rPr>
        <w:t>）法定代表人身份证明或授权委托书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5</w:t>
      </w:r>
      <w:r>
        <w:rPr>
          <w:rFonts w:hint="eastAsia" w:ascii="宋体" w:hAnsi="宋体" w:cs="宋体"/>
          <w:sz w:val="24"/>
        </w:rPr>
        <w:t>）承诺函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val="en-US" w:eastAsia="zh-CN"/>
        </w:rPr>
      </w:pPr>
      <w:r>
        <w:rPr>
          <w:rFonts w:hint="eastAsia" w:ascii="宋体" w:hAnsi="宋体" w:cs="宋体"/>
          <w:sz w:val="24"/>
          <w:lang w:val="en-US" w:eastAsia="zh-CN"/>
        </w:rPr>
        <w:t>（6）供应商自2021年1月1日以来至今签订的与本次采购内容有关的业绩（1、含2021年1月1日，以签订合同时间为准；2、须提供不少于2个业绩；3、合同为在建、已完工或新承接项目均可，已完工项目可提供合同有关的税票、双方盖章确认的结算单等；4、采购内容有关是指页岩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7</w:t>
      </w:r>
      <w:r>
        <w:rPr>
          <w:rFonts w:hint="eastAsia" w:ascii="宋体" w:hAnsi="宋体" w:cs="宋体"/>
          <w:sz w:val="24"/>
        </w:rPr>
        <w:t>）供应商认为需要提交的其他文件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根据此函，我公司承诺如下：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.我公司已详细审查全部</w:t>
      </w:r>
      <w:r>
        <w:rPr>
          <w:rFonts w:hint="eastAsia" w:ascii="宋体" w:hAnsi="宋体" w:cs="宋体"/>
          <w:sz w:val="24"/>
          <w:lang w:eastAsia="zh-CN"/>
        </w:rPr>
        <w:t>谈判</w:t>
      </w:r>
      <w:r>
        <w:rPr>
          <w:rFonts w:hint="eastAsia" w:ascii="宋体" w:hAnsi="宋体" w:cs="宋体"/>
          <w:sz w:val="24"/>
        </w:rPr>
        <w:t>文件，以及全部参考资料。我公司完全理解并同意放弃对这方面有不明及误解的权利。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2</w:t>
      </w:r>
      <w:r>
        <w:rPr>
          <w:rFonts w:hint="eastAsia" w:ascii="宋体" w:hAnsi="宋体" w:cs="宋体"/>
          <w:sz w:val="24"/>
        </w:rPr>
        <w:t>.我公司同意提供按照贵公司可能要求的与</w:t>
      </w:r>
      <w:r>
        <w:rPr>
          <w:rFonts w:hint="eastAsia" w:ascii="宋体" w:hAnsi="宋体" w:cs="宋体"/>
          <w:sz w:val="24"/>
          <w:lang w:val="en-US" w:eastAsia="zh-CN"/>
        </w:rPr>
        <w:t>谈判</w:t>
      </w:r>
      <w:r>
        <w:rPr>
          <w:rFonts w:hint="eastAsia" w:ascii="宋体" w:hAnsi="宋体" w:cs="宋体"/>
          <w:sz w:val="24"/>
        </w:rPr>
        <w:t>有关的一切数据或资料。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3</w:t>
      </w:r>
      <w:r>
        <w:rPr>
          <w:rFonts w:hint="eastAsia" w:ascii="宋体" w:hAnsi="宋体" w:cs="宋体"/>
          <w:sz w:val="24"/>
        </w:rPr>
        <w:t>.一旦我公司中选,我公司愿意履行自己在响应文件中及合同的全部承诺和责任。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4</w:t>
      </w:r>
      <w:r>
        <w:rPr>
          <w:rFonts w:hint="eastAsia" w:ascii="宋体" w:hAnsi="宋体" w:cs="宋体"/>
          <w:sz w:val="24"/>
        </w:rPr>
        <w:t>.我公司同意所递交的</w:t>
      </w:r>
      <w:r>
        <w:rPr>
          <w:rFonts w:hint="eastAsia" w:ascii="宋体" w:hAnsi="宋体" w:cs="宋体"/>
          <w:sz w:val="24"/>
          <w:lang w:val="en-US" w:eastAsia="zh-CN"/>
        </w:rPr>
        <w:t>合作</w:t>
      </w:r>
      <w:r>
        <w:rPr>
          <w:rFonts w:hint="eastAsia" w:ascii="宋体" w:hAnsi="宋体" w:cs="宋体"/>
          <w:sz w:val="24"/>
          <w:lang w:eastAsia="zh-CN"/>
        </w:rPr>
        <w:t>谈判</w:t>
      </w:r>
      <w:r>
        <w:rPr>
          <w:rFonts w:hint="eastAsia" w:ascii="宋体" w:hAnsi="宋体" w:cs="宋体"/>
          <w:sz w:val="24"/>
          <w:lang w:val="en-US" w:eastAsia="zh-CN"/>
        </w:rPr>
        <w:t>响应</w:t>
      </w:r>
      <w:r>
        <w:rPr>
          <w:rFonts w:hint="eastAsia" w:ascii="宋体" w:hAnsi="宋体" w:cs="宋体"/>
          <w:sz w:val="24"/>
        </w:rPr>
        <w:t>文件在规定的</w:t>
      </w:r>
      <w:r>
        <w:rPr>
          <w:rFonts w:hint="eastAsia" w:ascii="宋体" w:hAnsi="宋体" w:cs="宋体"/>
          <w:sz w:val="24"/>
          <w:lang w:val="en-US" w:eastAsia="zh-CN"/>
        </w:rPr>
        <w:t>谈判</w:t>
      </w:r>
      <w:r>
        <w:rPr>
          <w:rFonts w:hint="eastAsia" w:ascii="宋体" w:hAnsi="宋体" w:cs="宋体"/>
          <w:sz w:val="24"/>
        </w:rPr>
        <w:t>之日起至30天有效期内有效，在此期间内我公司将受此约束。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谈判</w:t>
      </w:r>
      <w:r>
        <w:rPr>
          <w:rFonts w:hint="eastAsia" w:ascii="宋体" w:hAnsi="宋体" w:cs="宋体"/>
          <w:sz w:val="24"/>
        </w:rPr>
        <w:t xml:space="preserve">单位（盖章）：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法定代表人（签字或盖章）：        法人手机：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委托代理人（签字或盖章）：        委托代理人手机：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（注：合作谈判响应函应装订入响应性文件中用于谈判评审小组审查）</w:t>
      </w:r>
    </w:p>
    <w:p>
      <w:pPr>
        <w:pStyle w:val="2"/>
        <w:sectPr>
          <w:headerReference r:id="rId3" w:type="default"/>
          <w:footerReference r:id="rId4" w:type="default"/>
          <w:pgSz w:w="11850" w:h="16783"/>
          <w:pgMar w:top="1200" w:right="960" w:bottom="1300" w:left="1080" w:header="680" w:footer="680" w:gutter="0"/>
          <w:cols w:space="720" w:num="1"/>
        </w:sectPr>
      </w:pPr>
    </w:p>
    <w:p>
      <w:pPr>
        <w:spacing w:line="500" w:lineRule="exact"/>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2</w:t>
      </w: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908"/>
        <w:gridCol w:w="1623"/>
        <w:gridCol w:w="122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材料出厂价</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单位</w:t>
            </w:r>
          </w:p>
        </w:tc>
        <w:tc>
          <w:tcPr>
            <w:tcW w:w="1623"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含税出厂单价（元）</w:t>
            </w:r>
          </w:p>
        </w:tc>
        <w:tc>
          <w:tcPr>
            <w:tcW w:w="1227"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备注</w:t>
            </w:r>
          </w:p>
        </w:tc>
      </w:tr>
      <w:tr>
        <w:tblPrEx>
          <w:tblCellMar>
            <w:top w:w="0" w:type="dxa"/>
            <w:left w:w="108" w:type="dxa"/>
            <w:bottom w:w="0" w:type="dxa"/>
            <w:right w:w="108" w:type="dxa"/>
          </w:tblCellMar>
        </w:tblPrEx>
        <w:trPr>
          <w:trHeight w:val="60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971"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tcPr>
          <w:p>
            <w:pPr>
              <w:widowControl/>
              <w:jc w:val="left"/>
              <w:rPr>
                <w:rFonts w:ascii="宋体" w:hAnsi="宋体" w:cs="宋体"/>
                <w:color w:val="000000"/>
                <w:kern w:val="0"/>
                <w:sz w:val="22"/>
                <w:szCs w:val="22"/>
              </w:rPr>
            </w:pPr>
            <w:r>
              <w:rPr>
                <w:rFonts w:hint="eastAsia" w:ascii="宋体" w:hAnsi="宋体" w:cs="宋体"/>
                <w:color w:val="FF0000"/>
                <w:kern w:val="0"/>
                <w:sz w:val="22"/>
                <w:szCs w:val="22"/>
              </w:rPr>
              <w:t>注：1、报价包含</w:t>
            </w:r>
            <w:r>
              <w:rPr>
                <w:rFonts w:hint="eastAsia" w:ascii="宋体" w:hAnsi="宋体" w:cs="宋体"/>
                <w:color w:val="FF0000"/>
                <w:kern w:val="0"/>
                <w:sz w:val="22"/>
                <w:szCs w:val="22"/>
                <w:lang w:val="en-US" w:eastAsia="zh-CN"/>
              </w:rPr>
              <w:t>材料</w:t>
            </w:r>
            <w:r>
              <w:rPr>
                <w:rFonts w:hint="eastAsia" w:ascii="宋体" w:hAnsi="宋体" w:cs="宋体"/>
                <w:color w:val="FF0000"/>
                <w:kern w:val="0"/>
                <w:sz w:val="22"/>
                <w:szCs w:val="22"/>
              </w:rPr>
              <w:t>、</w:t>
            </w:r>
            <w:r>
              <w:rPr>
                <w:rFonts w:hint="eastAsia" w:ascii="宋体" w:hAnsi="宋体" w:cs="宋体"/>
                <w:color w:val="FF0000"/>
                <w:kern w:val="0"/>
                <w:sz w:val="22"/>
                <w:szCs w:val="22"/>
                <w:lang w:val="en-US" w:eastAsia="zh-CN"/>
              </w:rPr>
              <w:t>打包费</w:t>
            </w:r>
            <w:r>
              <w:rPr>
                <w:rFonts w:hint="eastAsia" w:ascii="宋体" w:hAnsi="宋体" w:cs="宋体"/>
                <w:color w:val="FF0000"/>
                <w:kern w:val="0"/>
                <w:sz w:val="22"/>
                <w:szCs w:val="22"/>
              </w:rPr>
              <w:t>、上车、利润、</w:t>
            </w:r>
            <w:r>
              <w:rPr>
                <w:rFonts w:hint="eastAsia" w:ascii="宋体" w:hAnsi="宋体" w:cs="宋体"/>
                <w:color w:val="FF0000"/>
                <w:kern w:val="0"/>
                <w:sz w:val="22"/>
                <w:szCs w:val="22"/>
                <w:lang w:val="en-US" w:eastAsia="zh-CN"/>
              </w:rPr>
              <w:t>税金、</w:t>
            </w:r>
            <w:r>
              <w:rPr>
                <w:rFonts w:hint="eastAsia" w:ascii="宋体" w:hAnsi="宋体" w:cs="宋体"/>
                <w:color w:val="FF0000"/>
                <w:kern w:val="0"/>
                <w:sz w:val="22"/>
                <w:szCs w:val="22"/>
              </w:rPr>
              <w:t>风险及管理</w:t>
            </w:r>
            <w:r>
              <w:rPr>
                <w:rFonts w:hint="eastAsia" w:ascii="宋体" w:hAnsi="宋体" w:cs="宋体"/>
                <w:color w:val="FF0000"/>
                <w:kern w:val="0"/>
                <w:sz w:val="22"/>
                <w:szCs w:val="22"/>
                <w:lang w:val="en-US" w:eastAsia="zh-CN"/>
              </w:rPr>
              <w:t>等</w:t>
            </w:r>
            <w:r>
              <w:rPr>
                <w:rFonts w:hint="eastAsia" w:ascii="宋体" w:hAnsi="宋体" w:cs="宋体"/>
                <w:color w:val="FF0000"/>
                <w:kern w:val="0"/>
                <w:sz w:val="22"/>
                <w:szCs w:val="22"/>
              </w:rPr>
              <w:t>所有费用，</w:t>
            </w:r>
            <w:r>
              <w:rPr>
                <w:rFonts w:hint="eastAsia" w:ascii="宋体" w:hAnsi="宋体" w:cs="宋体"/>
                <w:color w:val="FF0000"/>
                <w:kern w:val="0"/>
                <w:sz w:val="22"/>
                <w:szCs w:val="22"/>
                <w:lang w:val="en-US" w:eastAsia="zh-CN"/>
              </w:rPr>
              <w:t>2、房建类项目包含下车，供应商综合考虑在报价中，市政道路、装修项目由采购人自行下车，3</w:t>
            </w:r>
            <w:r>
              <w:rPr>
                <w:rFonts w:hint="eastAsia" w:ascii="宋体" w:hAnsi="宋体" w:cs="宋体"/>
                <w:color w:val="FF0000"/>
                <w:kern w:val="0"/>
                <w:sz w:val="22"/>
                <w:szCs w:val="22"/>
              </w:rPr>
              <w:t>、报价应加盖公司公章。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（注：材料出厂价报价表供应商须报价并装订入响应性文件中用于谈判评审小组审查）</w:t>
      </w:r>
    </w:p>
    <w:p/>
    <w:p>
      <w:pPr>
        <w:pStyle w:val="3"/>
        <w:ind w:left="0" w:leftChars="0" w:firstLine="0" w:firstLineChars="0"/>
        <w:jc w:val="both"/>
      </w:pPr>
    </w:p>
    <w:p>
      <w:pPr>
        <w:pStyle w:val="2"/>
        <w:rPr>
          <w:rFonts w:hint="eastAsia" w:ascii="宋体" w:hAnsi="宋体"/>
          <w:color w:val="000000"/>
          <w:sz w:val="24"/>
          <w:szCs w:val="24"/>
        </w:rPr>
      </w:pPr>
    </w:p>
    <w:p>
      <w:pPr>
        <w:pStyle w:val="3"/>
        <w:rPr>
          <w:rFonts w:hint="eastAsia"/>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到场区域：雨城区、名山、经开区</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（注：运输报价表供应商可根据自身情况对区域报价并装订入响应性文件中用于谈判评审小组审查）</w:t>
      </w:r>
    </w:p>
    <w:p>
      <w:pPr>
        <w:rPr>
          <w:lang w:eastAsia="zh-CN"/>
        </w:rPr>
      </w:pPr>
    </w:p>
    <w:p>
      <w:pPr>
        <w:pStyle w:val="2"/>
        <w:rPr>
          <w:lang w:eastAsia="zh-CN"/>
        </w:rPr>
      </w:pPr>
    </w:p>
    <w:p>
      <w:pPr>
        <w:pStyle w:val="3"/>
        <w:rPr>
          <w:lang w:eastAsia="zh-CN"/>
        </w:rPr>
      </w:pPr>
    </w:p>
    <w:p>
      <w:pPr>
        <w:pStyle w:val="2"/>
        <w:rPr>
          <w:lang w:eastAsia="zh-CN"/>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到场区域：汉源、九襄主城区</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（注：运输报价表供应商可根据自身情况对区域报价并装订入响应性文件中用于谈判评审小组审查）</w:t>
      </w:r>
    </w:p>
    <w:p>
      <w:pPr>
        <w:pStyle w:val="2"/>
        <w:rPr>
          <w:lang w:eastAsia="zh-CN"/>
        </w:rPr>
      </w:pPr>
    </w:p>
    <w:p>
      <w:pPr>
        <w:pStyle w:val="9"/>
        <w:rPr>
          <w:lang w:eastAsia="zh-CN"/>
        </w:rPr>
      </w:pPr>
    </w:p>
    <w:p>
      <w:pPr>
        <w:pStyle w:val="2"/>
        <w:rPr>
          <w:lang w:eastAsia="zh-CN"/>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到场区域：芦山、宝兴</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（注：运输报价表供应商可根据自身情况对区域报价并装订入响应性文件中用于谈判评审小组审查）</w:t>
      </w:r>
    </w:p>
    <w:p>
      <w:pPr>
        <w:pStyle w:val="9"/>
        <w:rPr>
          <w:lang w:eastAsia="zh-CN"/>
        </w:rPr>
      </w:pPr>
    </w:p>
    <w:p>
      <w:pPr>
        <w:rPr>
          <w:lang w:eastAsia="zh-CN"/>
        </w:rPr>
      </w:pPr>
    </w:p>
    <w:p>
      <w:pPr>
        <w:pStyle w:val="2"/>
        <w:rPr>
          <w:lang w:eastAsia="zh-CN"/>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到场区域：石棉</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（注：运输报价表供应商可根据自身情况对区域报价并装订入响应性文件中用于谈判评审小组审查）</w:t>
      </w: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spacing w:line="500" w:lineRule="exact"/>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附件3</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rPr>
      </w:pPr>
      <w:r>
        <w:rPr>
          <w:rFonts w:hint="eastAsia" w:ascii="宋体" w:hAnsi="宋体" w:eastAsia="宋体" w:cs="Times New Roman"/>
          <w:b/>
          <w:color w:val="000000"/>
          <w:sz w:val="36"/>
          <w:lang w:val="en-US" w:eastAsia="zh-CN"/>
        </w:rPr>
        <w:t>谈判单位基本情况介绍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p>
    <w:tbl>
      <w:tblPr>
        <w:tblStyle w:val="16"/>
        <w:tblW w:w="90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031"/>
        <w:gridCol w:w="1422"/>
        <w:gridCol w:w="2047"/>
        <w:gridCol w:w="1448"/>
        <w:gridCol w:w="16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单位名称</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成立日期</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经营地址</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单位性质</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注册资金</w:t>
            </w:r>
          </w:p>
        </w:tc>
        <w:tc>
          <w:tcPr>
            <w:tcW w:w="10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业务电话</w:t>
            </w:r>
          </w:p>
        </w:tc>
        <w:tc>
          <w:tcPr>
            <w:tcW w:w="20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传真</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法定代表人</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电话</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总经理</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经营范围</w:t>
            </w:r>
          </w:p>
        </w:tc>
        <w:tc>
          <w:tcPr>
            <w:tcW w:w="75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公司介绍</w:t>
            </w:r>
          </w:p>
        </w:tc>
        <w:tc>
          <w:tcPr>
            <w:tcW w:w="75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备注</w:t>
            </w:r>
          </w:p>
        </w:tc>
        <w:tc>
          <w:tcPr>
            <w:tcW w:w="75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谈判单位</w:t>
      </w:r>
      <w:r>
        <w:rPr>
          <w:rFonts w:hint="eastAsia" w:ascii="宋体" w:hAnsi="宋体" w:eastAsia="宋体" w:cs="宋体"/>
          <w:sz w:val="24"/>
        </w:rPr>
        <w:t>：      （盖</w:t>
      </w:r>
      <w:r>
        <w:rPr>
          <w:rFonts w:hint="eastAsia" w:ascii="宋体" w:hAnsi="宋体" w:eastAsia="宋体" w:cs="宋体"/>
          <w:sz w:val="24"/>
          <w:lang w:eastAsia="zh-CN"/>
        </w:rPr>
        <w:t>单位</w:t>
      </w:r>
      <w:r>
        <w:rPr>
          <w:rFonts w:hint="eastAsia" w:ascii="宋体" w:hAnsi="宋体" w:eastAsia="宋体" w:cs="宋体"/>
          <w:sz w:val="24"/>
        </w:rPr>
        <w:t>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法定代表人或其委托代理人：                 （签字）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日期：      年     月      日</w:t>
      </w:r>
    </w:p>
    <w:p>
      <w:pPr>
        <w:spacing w:line="260" w:lineRule="exact"/>
        <w:outlineLvl w:val="1"/>
        <w:rPr>
          <w:rFonts w:hint="eastAsia" w:ascii="宋体" w:hAnsi="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（注：此附件应装订入响应性文件中用于谈判评审小组审查）</w:t>
      </w: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pStyle w:val="2"/>
        <w:rPr>
          <w:rFonts w:hint="eastAsia" w:ascii="宋体" w:hAnsi="宋体"/>
          <w:color w:val="000000"/>
          <w:sz w:val="24"/>
          <w:szCs w:val="24"/>
        </w:rPr>
      </w:pPr>
    </w:p>
    <w:p>
      <w:pPr>
        <w:pStyle w:val="3"/>
        <w:rPr>
          <w:rFonts w:hint="eastAsia"/>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eastAsia="宋体"/>
          <w:color w:val="000000"/>
          <w:sz w:val="24"/>
          <w:szCs w:val="24"/>
          <w:lang w:val="en-US" w:eastAsia="zh-CN"/>
        </w:rPr>
      </w:pPr>
      <w:r>
        <w:rPr>
          <w:rFonts w:hint="eastAsia" w:ascii="宋体" w:hAnsi="宋体"/>
          <w:color w:val="000000"/>
          <w:sz w:val="24"/>
          <w:szCs w:val="24"/>
        </w:rPr>
        <w:t>附件</w:t>
      </w:r>
      <w:bookmarkEnd w:id="15"/>
      <w:bookmarkEnd w:id="16"/>
      <w:bookmarkEnd w:id="17"/>
      <w:bookmarkEnd w:id="18"/>
      <w:bookmarkEnd w:id="19"/>
      <w:bookmarkEnd w:id="20"/>
      <w:r>
        <w:rPr>
          <w:rFonts w:hint="eastAsia" w:ascii="宋体" w:hAnsi="宋体"/>
          <w:color w:val="000000"/>
          <w:sz w:val="24"/>
          <w:szCs w:val="24"/>
          <w:lang w:val="en-US" w:eastAsia="zh-CN"/>
        </w:rPr>
        <w:t>4</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谈判</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auto"/>
          <w:sz w:val="24"/>
          <w:u w:val="single"/>
        </w:rPr>
        <w:t xml:space="preserve">      （</w:t>
      </w:r>
      <w:r>
        <w:rPr>
          <w:rFonts w:hint="eastAsia" w:ascii="宋体" w:hAnsi="宋体"/>
          <w:color w:val="auto"/>
          <w:sz w:val="24"/>
          <w:u w:val="single"/>
          <w:lang w:val="en-US" w:eastAsia="zh-CN"/>
        </w:rPr>
        <w:t>谈判</w:t>
      </w:r>
      <w:r>
        <w:rPr>
          <w:rFonts w:hint="eastAsia" w:ascii="宋体" w:hAnsi="宋体"/>
          <w:color w:val="auto"/>
          <w:sz w:val="24"/>
          <w:u w:val="single"/>
        </w:rPr>
        <w:t>单位名称）的法定代</w:t>
      </w:r>
      <w:r>
        <w:rPr>
          <w:rFonts w:hint="eastAsia" w:ascii="宋体" w:hAnsi="宋体"/>
          <w:color w:val="000000"/>
          <w:sz w:val="24"/>
          <w:u w:val="single"/>
        </w:rPr>
        <w:t>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none"/>
        </w:rPr>
        <w:t>：</w:t>
      </w:r>
      <w:r>
        <w:rPr>
          <w:rFonts w:hint="eastAsia" w:ascii="宋体" w:hAnsi="宋体"/>
          <w:color w:val="000000"/>
          <w:sz w:val="24"/>
          <w:u w:val="single"/>
        </w:rPr>
        <w:t xml:space="preserve">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（注：此附件应装订入响应性文件中用于谈判评审小组审查，适用于法人参加谈判的情形）</w:t>
      </w:r>
    </w:p>
    <w:p>
      <w:pPr>
        <w:pStyle w:val="2"/>
        <w:rPr>
          <w:lang w:eastAsia="zh-CN"/>
        </w:rPr>
      </w:pPr>
    </w:p>
    <w:p/>
    <w:p>
      <w:pPr>
        <w:pStyle w:val="2"/>
        <w:rPr>
          <w:lang w:eastAsia="zh-CN"/>
        </w:rPr>
      </w:pPr>
    </w:p>
    <w:p/>
    <w:p>
      <w:pPr>
        <w:pStyle w:val="2"/>
        <w:rPr>
          <w:lang w:eastAsia="zh-CN"/>
        </w:rPr>
      </w:pPr>
    </w:p>
    <w:p/>
    <w:p>
      <w:pPr>
        <w:spacing w:line="360" w:lineRule="auto"/>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4</w:t>
      </w:r>
    </w:p>
    <w:p>
      <w:pPr>
        <w:pStyle w:val="2"/>
        <w:rPr>
          <w:lang w:eastAsia="zh-CN"/>
        </w:rPr>
      </w:pP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谈判</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w:t>
      </w:r>
      <w:r>
        <w:rPr>
          <w:rFonts w:hint="eastAsia" w:ascii="宋体" w:hAnsi="宋体" w:eastAsia="宋体" w:cs="宋体"/>
          <w:sz w:val="24"/>
          <w:lang w:val="en-US" w:eastAsia="zh-CN"/>
        </w:rPr>
        <w:t>以我方名义签署、澄清、说明、补正、递交、撤回、修改</w:t>
      </w:r>
      <w:r>
        <w:rPr>
          <w:rFonts w:hint="eastAsia" w:ascii="宋体" w:hAnsi="宋体" w:eastAsia="宋体" w:cs="宋体"/>
          <w:sz w:val="24"/>
          <w:u w:val="single"/>
          <w:lang w:val="en-US" w:eastAsia="zh-CN"/>
        </w:rPr>
        <w:t xml:space="preserve"> 城投建工、市政公司页岩砖</w:t>
      </w:r>
      <w:r>
        <w:rPr>
          <w:rFonts w:hint="eastAsia" w:ascii="宋体" w:hAnsi="宋体" w:cs="宋体"/>
          <w:sz w:val="24"/>
          <w:u w:val="single"/>
          <w:lang w:val="en-US" w:eastAsia="zh-CN"/>
        </w:rPr>
        <w:t>年度</w:t>
      </w:r>
      <w:r>
        <w:rPr>
          <w:rFonts w:hint="eastAsia" w:ascii="宋体" w:hAnsi="宋体" w:eastAsia="宋体" w:cs="宋体"/>
          <w:sz w:val="24"/>
          <w:u w:val="single"/>
          <w:lang w:val="en-US" w:eastAsia="zh-CN"/>
        </w:rPr>
        <w:t xml:space="preserve">集中采购 </w:t>
      </w:r>
      <w:r>
        <w:rPr>
          <w:rFonts w:hint="eastAsia" w:ascii="宋体" w:hAnsi="宋体" w:eastAsia="宋体" w:cs="宋体"/>
          <w:sz w:val="24"/>
          <w:u w:val="none"/>
          <w:lang w:val="en-US" w:eastAsia="zh-CN"/>
        </w:rPr>
        <w:t>合作谈判</w:t>
      </w:r>
      <w:r>
        <w:rPr>
          <w:rFonts w:hint="eastAsia" w:ascii="宋体" w:hAnsi="宋体" w:eastAsia="宋体" w:cs="宋体"/>
          <w:sz w:val="24"/>
          <w:lang w:eastAsia="zh-CN"/>
        </w:rPr>
        <w:t>文件、签订合同和处理有关事宜（向有关行政监督部门投诉另行授权），其法律后果由我方承担。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委托期限：从本授权委托书签署之日起至</w:t>
      </w:r>
      <w:r>
        <w:rPr>
          <w:rFonts w:hint="eastAsia" w:ascii="宋体" w:hAnsi="宋体" w:cs="宋体"/>
          <w:sz w:val="24"/>
          <w:lang w:val="en-US" w:eastAsia="zh-CN"/>
        </w:rPr>
        <w:t>谈判</w:t>
      </w:r>
      <w:r>
        <w:rPr>
          <w:rFonts w:hint="eastAsia" w:ascii="宋体" w:hAnsi="宋体" w:cs="宋体"/>
          <w:sz w:val="24"/>
        </w:rPr>
        <w:t>有效期结束为止。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代理人无转委托权。</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cs="宋体"/>
          <w:b/>
          <w:bCs/>
          <w:color w:val="FF0000"/>
          <w:sz w:val="24"/>
        </w:rPr>
      </w:pP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lang w:val="en-US" w:eastAsia="zh-CN"/>
        </w:rPr>
        <w:t>谈判</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法定代表人：</w:t>
      </w:r>
      <w:r>
        <w:rPr>
          <w:rFonts w:hint="eastAsia" w:ascii="宋体" w:hAnsi="宋体" w:cs="宋体"/>
          <w:sz w:val="24"/>
          <w:u w:val="single"/>
        </w:rPr>
        <w:t xml:space="preserve">                        </w:t>
      </w:r>
      <w:r>
        <w:rPr>
          <w:rFonts w:hint="eastAsia" w:ascii="宋体" w:hAnsi="宋体" w:cs="宋体"/>
          <w:sz w:val="24"/>
        </w:rPr>
        <w:t>（签字）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lang w:val="en-US" w:eastAsia="zh-CN"/>
        </w:rPr>
        <w:t>日期：</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hint="eastAsia" w:ascii="宋体" w:hAnsi="宋体" w:cs="宋体"/>
          <w:sz w:val="24"/>
        </w:rPr>
      </w:pPr>
      <w:r>
        <w:rPr>
          <w:rFonts w:hint="eastAsia" w:ascii="宋体" w:hAnsi="宋体" w:cs="宋体"/>
          <w:sz w:val="24"/>
        </w:rPr>
        <w:t xml:space="preserve">       </w:t>
      </w:r>
      <w:bookmarkStart w:id="21" w:name="_Toc132523740"/>
      <w:bookmarkStart w:id="22" w:name="_Toc132111901"/>
      <w:bookmarkStart w:id="23" w:name="_Toc132000252"/>
      <w:bookmarkStart w:id="24" w:name="_Toc132523469"/>
      <w:bookmarkStart w:id="25" w:name="_Toc282613286"/>
      <w:bookmarkStart w:id="26" w:name="_Toc132265253"/>
    </w:p>
    <w:p>
      <w:pPr>
        <w:spacing w:line="360" w:lineRule="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（注：此附件应装订入响应性文件中用于谈判评审小组审查，</w:t>
      </w:r>
      <w:r>
        <w:rPr>
          <w:rFonts w:hint="eastAsia" w:ascii="宋体" w:hAnsi="宋体" w:cs="宋体"/>
          <w:b/>
          <w:bCs/>
          <w:color w:val="FF0000"/>
          <w:kern w:val="2"/>
          <w:sz w:val="24"/>
          <w:szCs w:val="24"/>
          <w:lang w:eastAsia="zh-CN"/>
        </w:rPr>
        <w:t>适用于委托人参加谈判的情形</w:t>
      </w:r>
      <w:r>
        <w:rPr>
          <w:rFonts w:hint="eastAsia" w:ascii="宋体" w:hAnsi="宋体" w:eastAsia="宋体" w:cs="宋体"/>
          <w:b/>
          <w:bCs/>
          <w:color w:val="FF0000"/>
          <w:kern w:val="2"/>
          <w:sz w:val="24"/>
          <w:szCs w:val="24"/>
          <w:lang w:val="en-US" w:eastAsia="zh-CN" w:bidi="ar-SA"/>
        </w:rPr>
        <w:t>）</w:t>
      </w:r>
    </w:p>
    <w:p>
      <w:pPr>
        <w:pStyle w:val="2"/>
        <w:keepNext w:val="0"/>
        <w:keepLines w:val="0"/>
        <w:pageBreakBefore w:val="0"/>
        <w:widowControl w:val="0"/>
        <w:kinsoku/>
        <w:wordWrap/>
        <w:overflowPunct/>
        <w:topLinePunct w:val="0"/>
        <w:autoSpaceDE/>
        <w:autoSpaceDN/>
        <w:bidi w:val="0"/>
        <w:adjustRightInd/>
        <w:snapToGrid/>
        <w:textAlignment w:val="auto"/>
        <w:rPr>
          <w:rFonts w:ascii="宋体" w:hAnsi="宋体" w:cs="宋体"/>
          <w:b/>
          <w:bCs/>
          <w:color w:val="FF0000"/>
          <w:kern w:val="2"/>
          <w:sz w:val="24"/>
          <w:szCs w:val="24"/>
          <w:lang w:eastAsia="zh-CN"/>
        </w:rPr>
      </w:pPr>
    </w:p>
    <w:p/>
    <w:p>
      <w:pPr>
        <w:pStyle w:val="2"/>
        <w:rPr>
          <w:lang w:eastAsia="zh-CN"/>
        </w:rPr>
      </w:pPr>
    </w:p>
    <w:bookmarkEnd w:id="13"/>
    <w:bookmarkEnd w:id="21"/>
    <w:bookmarkEnd w:id="22"/>
    <w:bookmarkEnd w:id="23"/>
    <w:bookmarkEnd w:id="24"/>
    <w:bookmarkEnd w:id="25"/>
    <w:bookmarkEnd w:id="26"/>
    <w:p>
      <w:pPr>
        <w:spacing w:line="260" w:lineRule="exact"/>
        <w:outlineLvl w:val="1"/>
        <w:rPr>
          <w:rFonts w:hint="eastAsia" w:ascii="宋体" w:hAnsi="宋体"/>
          <w:color w:val="000000"/>
          <w:sz w:val="24"/>
          <w:szCs w:val="24"/>
        </w:rPr>
      </w:pPr>
      <w:bookmarkStart w:id="27" w:name="_Toc138581214"/>
      <w:bookmarkStart w:id="28" w:name="_Toc282613287"/>
      <w:bookmarkStart w:id="29" w:name="_Toc134953396"/>
      <w:bookmarkStart w:id="30" w:name="_Toc138581133"/>
      <w:bookmarkStart w:id="31" w:name="_Toc156059747"/>
      <w:bookmarkStart w:id="32" w:name="_Toc132111900"/>
      <w:bookmarkStart w:id="33" w:name="_Toc132265252"/>
      <w:bookmarkStart w:id="34" w:name="_Toc131305916"/>
      <w:bookmarkStart w:id="35" w:name="_Toc152748104"/>
      <w:bookmarkStart w:id="36" w:name="_Toc132523739"/>
      <w:bookmarkStart w:id="37" w:name="_Toc132523468"/>
    </w:p>
    <w:p>
      <w:pPr>
        <w:spacing w:line="260" w:lineRule="exact"/>
        <w:outlineLvl w:val="1"/>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5</w:t>
      </w:r>
    </w:p>
    <w:p>
      <w:pPr>
        <w:pStyle w:val="8"/>
        <w:spacing w:line="580" w:lineRule="exact"/>
        <w:ind w:left="0" w:leftChars="0"/>
        <w:rPr>
          <w:rFonts w:ascii="方正小标宋简体" w:hAnsi="宋体" w:eastAsia="方正小标宋简体"/>
          <w:color w:val="0D0D0D"/>
          <w:sz w:val="44"/>
          <w:szCs w:val="44"/>
        </w:rPr>
      </w:pPr>
    </w:p>
    <w:p>
      <w:pPr>
        <w:pStyle w:val="8"/>
        <w:spacing w:line="580" w:lineRule="exact"/>
        <w:ind w:left="0" w:leftChars="0" w:firstLine="0" w:firstLineChars="0"/>
        <w:jc w:val="center"/>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textAlignment w:val="auto"/>
        <w:rPr>
          <w:rFonts w:hint="eastAsia" w:hAnsi="宋体" w:eastAsia="宋体" w:cs="Times New Roman"/>
          <w:color w:val="0D0D0D"/>
          <w:sz w:val="24"/>
        </w:rPr>
      </w:pPr>
      <w:r>
        <w:rPr>
          <w:rFonts w:hint="eastAsia" w:hAnsi="宋体" w:eastAsia="宋体" w:cs="Times New Roman"/>
          <w:color w:val="0D0D0D"/>
          <w:sz w:val="24"/>
        </w:rPr>
        <w:t>致：</w:t>
      </w:r>
      <w:r>
        <w:rPr>
          <w:rFonts w:hint="eastAsia" w:hAnsi="宋体" w:eastAsia="宋体" w:cs="Times New Roman"/>
          <w:color w:val="0D0D0D"/>
          <w:sz w:val="24"/>
          <w:u w:val="single"/>
        </w:rPr>
        <w:t>雅安城投建筑工程有限公司</w:t>
      </w:r>
      <w:r>
        <w:rPr>
          <w:rFonts w:hint="eastAsia" w:hAnsi="宋体" w:eastAsia="宋体" w:cs="Times New Roman"/>
          <w:color w:val="0D0D0D"/>
          <w:sz w:val="24"/>
          <w:u w:val="single"/>
          <w:lang w:eastAsia="zh-CN"/>
        </w:rPr>
        <w:t>、雅安市市政建设工程有限公司</w:t>
      </w:r>
      <w:r>
        <w:rPr>
          <w:rFonts w:hint="eastAsia" w:hAnsi="宋体" w:eastAsia="宋体" w:cs="Times New Roman"/>
          <w:color w:val="0D0D0D"/>
          <w:sz w:val="24"/>
          <w:u w:val="single"/>
        </w:rPr>
        <w:t xml:space="preserve"> </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hAnsi="宋体"/>
          <w:color w:val="0D0D0D"/>
          <w:sz w:val="24"/>
          <w:u w:val="single"/>
          <w:lang w:val="en-US" w:eastAsia="zh-CN"/>
        </w:rPr>
        <w:t xml:space="preserve"> </w:t>
      </w:r>
      <w:r>
        <w:rPr>
          <w:rFonts w:hint="eastAsia" w:ascii="宋体" w:hAnsi="宋体" w:eastAsia="宋体" w:cs="宋体"/>
          <w:b/>
          <w:bCs/>
          <w:sz w:val="24"/>
          <w:u w:val="single"/>
          <w:lang w:val="en-US" w:eastAsia="zh-CN"/>
        </w:rPr>
        <w:t>城投建工、市政公司页岩砖</w:t>
      </w:r>
      <w:r>
        <w:rPr>
          <w:rFonts w:hint="eastAsia" w:ascii="宋体" w:hAnsi="宋体" w:cs="宋体"/>
          <w:b/>
          <w:bCs/>
          <w:sz w:val="24"/>
          <w:u w:val="single"/>
          <w:lang w:val="en-US" w:eastAsia="zh-CN"/>
        </w:rPr>
        <w:t>年度</w:t>
      </w:r>
      <w:r>
        <w:rPr>
          <w:rFonts w:hint="eastAsia" w:ascii="宋体" w:hAnsi="宋体" w:eastAsia="宋体" w:cs="宋体"/>
          <w:b/>
          <w:bCs/>
          <w:sz w:val="24"/>
          <w:u w:val="single"/>
          <w:lang w:val="en-US" w:eastAsia="zh-CN"/>
        </w:rPr>
        <w:t xml:space="preserve">集中采购 </w:t>
      </w:r>
      <w:r>
        <w:rPr>
          <w:rFonts w:hint="eastAsia" w:hAnsi="宋体"/>
          <w:color w:val="0D0D0D"/>
          <w:sz w:val="24"/>
        </w:rPr>
        <w:t>的谈判活动，现承诺：</w:t>
      </w:r>
      <w:bookmarkStart w:id="38" w:name="_GoBack"/>
      <w:bookmarkEnd w:id="38"/>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rPr>
        <w:t>（</w:t>
      </w:r>
      <w:r>
        <w:rPr>
          <w:rFonts w:hint="eastAsia" w:hAnsi="宋体" w:eastAsia="宋体" w:cs="Times New Roman"/>
          <w:color w:val="0D0D0D"/>
          <w:sz w:val="24"/>
          <w:lang w:val="en-US" w:eastAsia="zh-CN"/>
        </w:rPr>
        <w:t>一</w:t>
      </w:r>
      <w:r>
        <w:rPr>
          <w:rFonts w:hint="eastAsia" w:hAnsi="宋体" w:eastAsia="宋体" w:cs="Times New Roman"/>
          <w:color w:val="0D0D0D"/>
          <w:sz w:val="24"/>
        </w:rPr>
        <w:t>）具有独立承担民事责任的能力</w:t>
      </w:r>
      <w:r>
        <w:rPr>
          <w:rFonts w:hint="eastAsia" w:hAnsi="宋体" w:eastAsia="宋体" w:cs="Times New Roman"/>
          <w:color w:val="0D0D0D"/>
          <w:sz w:val="24"/>
          <w:lang w:eastAsia="zh-CN"/>
        </w:rPr>
        <w:t>；</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二</w:t>
      </w:r>
      <w:r>
        <w:rPr>
          <w:rFonts w:hint="eastAsia" w:hAnsi="宋体" w:eastAsia="宋体" w:cs="Times New Roman"/>
          <w:color w:val="0D0D0D"/>
          <w:sz w:val="24"/>
        </w:rPr>
        <w:t>）具有良好的商业信誉和健全的财务会计制度；</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三</w:t>
      </w:r>
      <w:r>
        <w:rPr>
          <w:rFonts w:hint="eastAsia" w:hAnsi="宋体" w:eastAsia="宋体" w:cs="Times New Roman"/>
          <w:color w:val="0D0D0D"/>
          <w:sz w:val="24"/>
        </w:rPr>
        <w:t>）具有履行合同所必需的设备和专业技术能力；</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四</w:t>
      </w:r>
      <w:r>
        <w:rPr>
          <w:rFonts w:hint="eastAsia" w:hAnsi="宋体" w:eastAsia="宋体" w:cs="Times New Roman"/>
          <w:color w:val="0D0D0D"/>
          <w:sz w:val="24"/>
        </w:rPr>
        <w:t>）有依法缴纳税收和社会保障资金的良好记录；</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五</w:t>
      </w:r>
      <w:r>
        <w:rPr>
          <w:rFonts w:hint="eastAsia" w:hAnsi="宋体" w:eastAsia="宋体" w:cs="Times New Roman"/>
          <w:color w:val="0D0D0D"/>
          <w:sz w:val="24"/>
          <w:lang w:eastAsia="zh-CN"/>
        </w:rPr>
        <w:t>）参加本次谈判前三年内，在经营活动中没有重大违法记录；且谈判单位的法定代表人、主要负责人不得有行贿犯罪记录；</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六</w:t>
      </w:r>
      <w:r>
        <w:rPr>
          <w:rFonts w:hint="eastAsia" w:hAnsi="宋体" w:eastAsia="宋体" w:cs="Times New Roman"/>
          <w:color w:val="0D0D0D"/>
          <w:sz w:val="24"/>
          <w:lang w:eastAsia="zh-CN"/>
        </w:rPr>
        <w:t>）递交的</w:t>
      </w:r>
      <w:r>
        <w:rPr>
          <w:rFonts w:hint="eastAsia" w:hAnsi="宋体" w:eastAsia="宋体" w:cs="Times New Roman"/>
          <w:color w:val="0D0D0D"/>
          <w:sz w:val="24"/>
          <w:lang w:val="en-US" w:eastAsia="zh-CN"/>
        </w:rPr>
        <w:t>谈判</w:t>
      </w:r>
      <w:r>
        <w:rPr>
          <w:rFonts w:hint="eastAsia" w:hAnsi="宋体" w:eastAsia="宋体" w:cs="Times New Roman"/>
          <w:color w:val="0D0D0D"/>
          <w:sz w:val="24"/>
          <w:lang w:eastAsia="zh-CN"/>
        </w:rPr>
        <w:t>文件所有材料均真实有效，且与本次</w:t>
      </w:r>
      <w:r>
        <w:rPr>
          <w:rFonts w:hint="eastAsia" w:hAnsi="宋体" w:eastAsia="宋体" w:cs="Times New Roman"/>
          <w:color w:val="0D0D0D"/>
          <w:sz w:val="24"/>
          <w:lang w:val="en-US" w:eastAsia="zh-CN"/>
        </w:rPr>
        <w:t>谈判</w:t>
      </w:r>
      <w:r>
        <w:rPr>
          <w:rFonts w:hint="eastAsia" w:hAnsi="宋体" w:eastAsia="宋体" w:cs="Times New Roman"/>
          <w:color w:val="0D0D0D"/>
          <w:sz w:val="24"/>
          <w:lang w:eastAsia="zh-CN"/>
        </w:rPr>
        <w:t>其他</w:t>
      </w:r>
      <w:r>
        <w:rPr>
          <w:rFonts w:hint="eastAsia" w:hAnsi="宋体" w:eastAsia="宋体" w:cs="Times New Roman"/>
          <w:color w:val="0D0D0D"/>
          <w:sz w:val="24"/>
          <w:lang w:val="en-US" w:eastAsia="zh-CN"/>
        </w:rPr>
        <w:t>单位</w:t>
      </w:r>
      <w:r>
        <w:rPr>
          <w:rFonts w:hint="eastAsia" w:hAnsi="宋体" w:eastAsia="宋体" w:cs="Times New Roman"/>
          <w:color w:val="0D0D0D"/>
          <w:sz w:val="24"/>
          <w:lang w:eastAsia="zh-CN"/>
        </w:rPr>
        <w:t>无关联；</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七</w:t>
      </w:r>
      <w:r>
        <w:rPr>
          <w:rFonts w:hint="eastAsia" w:hAnsi="宋体" w:eastAsia="宋体" w:cs="Times New Roman"/>
          <w:color w:val="0D0D0D"/>
          <w:sz w:val="24"/>
          <w:lang w:eastAsia="zh-CN"/>
        </w:rPr>
        <w:t>）满足法律、行政法规规定的其他条件，不属于禁止参加的供应商。</w:t>
      </w:r>
    </w:p>
    <w:p>
      <w:pPr>
        <w:pStyle w:val="8"/>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我公司已详细审查全部</w:t>
      </w:r>
      <w:r>
        <w:rPr>
          <w:rFonts w:hint="eastAsia" w:hAnsi="宋体" w:eastAsia="宋体" w:cs="Times New Roman"/>
          <w:color w:val="0D0D0D"/>
          <w:sz w:val="24"/>
          <w:lang w:val="en-US" w:eastAsia="zh-CN"/>
        </w:rPr>
        <w:t>磋商</w:t>
      </w:r>
      <w:r>
        <w:rPr>
          <w:rFonts w:hint="eastAsia" w:hAnsi="宋体" w:eastAsia="宋体" w:cs="Times New Roman"/>
          <w:color w:val="0D0D0D"/>
          <w:sz w:val="24"/>
        </w:rPr>
        <w:t>文件，全部参考资料及采购人要求，我公司完全理解并同意放弃对这方面有不明及误解的权利</w:t>
      </w: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并</w:t>
      </w:r>
      <w:r>
        <w:rPr>
          <w:rFonts w:hint="eastAsia" w:hAnsi="宋体" w:eastAsia="宋体" w:cs="Times New Roman"/>
          <w:color w:val="0D0D0D"/>
          <w:sz w:val="24"/>
        </w:rPr>
        <w:t>对上述承诺的内容事项真实性负责。如经查实上述承诺的内容事项存在虚假，我单位愿意接受以提供虚假材料谋取中标追究法律责任。</w:t>
      </w:r>
    </w:p>
    <w:p>
      <w:pPr>
        <w:pStyle w:val="8"/>
        <w:spacing w:after="0" w:line="500" w:lineRule="exact"/>
        <w:ind w:firstLine="432"/>
        <w:rPr>
          <w:rFonts w:hAnsi="宋体"/>
          <w:color w:val="0D0D0D"/>
          <w:sz w:val="24"/>
        </w:rPr>
      </w:pPr>
    </w:p>
    <w:p/>
    <w:p>
      <w:pPr>
        <w:pStyle w:val="8"/>
        <w:spacing w:after="0" w:line="500" w:lineRule="exact"/>
        <w:ind w:left="0" w:leftChars="0" w:firstLine="0" w:firstLineChars="0"/>
        <w:rPr>
          <w:rFonts w:hint="eastAsia" w:ascii="Times New Roman" w:hAnsi="宋体" w:eastAsia="宋体" w:cs="Times New Roman"/>
          <w:color w:val="0D0D0D"/>
          <w:sz w:val="24"/>
        </w:rPr>
      </w:pPr>
    </w:p>
    <w:p>
      <w:pPr>
        <w:pStyle w:val="8"/>
        <w:spacing w:after="0" w:line="500" w:lineRule="exact"/>
        <w:ind w:firstLine="432"/>
        <w:jc w:val="center"/>
        <w:rPr>
          <w:rFonts w:hint="eastAsia" w:ascii="Times New Roman" w:hAnsi="宋体" w:eastAsia="宋体" w:cs="Times New Roman"/>
          <w:color w:val="0D0D0D"/>
          <w:sz w:val="24"/>
        </w:rPr>
      </w:pPr>
      <w:r>
        <w:rPr>
          <w:rFonts w:hint="eastAsia" w:ascii="Times New Roman" w:hAnsi="宋体" w:eastAsia="宋体" w:cs="Times New Roman"/>
          <w:color w:val="0D0D0D"/>
          <w:sz w:val="24"/>
        </w:rPr>
        <w:t>谈 判 单 位（盖章）：</w:t>
      </w:r>
    </w:p>
    <w:p>
      <w:pPr>
        <w:pStyle w:val="8"/>
        <w:spacing w:after="0" w:line="500" w:lineRule="exact"/>
        <w:ind w:firstLine="3372" w:firstLineChars="1405"/>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rPr>
        <w:t>法定代表人或其委托代理人：（签字）</w:t>
      </w:r>
    </w:p>
    <w:p>
      <w:pPr>
        <w:pStyle w:val="8"/>
        <w:spacing w:after="0" w:line="500" w:lineRule="exact"/>
        <w:ind w:firstLine="3372" w:firstLineChars="1405"/>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rPr>
          <w:rFonts w:ascii="宋体" w:hAnsi="宋体"/>
          <w:color w:val="0D0D0D"/>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（注：此附件应装订入响应性文件中用于谈判评审小组审查）</w:t>
      </w:r>
    </w:p>
    <w:p>
      <w:pPr>
        <w:spacing w:before="120" w:after="120"/>
        <w:rPr>
          <w:rFonts w:ascii="宋体" w:hAnsi="宋体"/>
          <w:sz w:val="24"/>
        </w:rPr>
      </w:pPr>
    </w:p>
    <w:p>
      <w:pPr>
        <w:rPr>
          <w:rFonts w:hint="eastAsia" w:asciiTheme="majorEastAsia" w:hAnsiTheme="majorEastAsia" w:eastAsiaTheme="majorEastAsia" w:cstheme="majorEastAsia"/>
          <w:sz w:val="24"/>
          <w:szCs w:val="24"/>
          <w:lang w:val="en-US" w:eastAsia="zh-CN"/>
        </w:rPr>
      </w:pPr>
    </w:p>
    <w:p>
      <w:pPr>
        <w:rPr>
          <w:rFonts w:hint="eastAsia" w:asciiTheme="majorEastAsia" w:hAnsiTheme="majorEastAsia" w:eastAsiaTheme="majorEastAsia" w:cstheme="majorEastAsia"/>
          <w:sz w:val="24"/>
          <w:szCs w:val="24"/>
          <w:lang w:val="en-US" w:eastAsia="zh-CN"/>
        </w:rPr>
      </w:pPr>
    </w:p>
    <w:p>
      <w:p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附件6</w:t>
      </w:r>
    </w:p>
    <w:bookmarkEnd w:id="27"/>
    <w:bookmarkEnd w:id="28"/>
    <w:bookmarkEnd w:id="29"/>
    <w:bookmarkEnd w:id="30"/>
    <w:bookmarkEnd w:id="31"/>
    <w:bookmarkEnd w:id="32"/>
    <w:bookmarkEnd w:id="33"/>
    <w:bookmarkEnd w:id="34"/>
    <w:bookmarkEnd w:id="35"/>
    <w:bookmarkEnd w:id="36"/>
    <w:bookmarkEnd w:id="37"/>
    <w:p>
      <w:pPr>
        <w:keepNext w:val="0"/>
        <w:keepLines w:val="0"/>
        <w:pageBreakBefore w:val="0"/>
        <w:widowControl/>
        <w:kinsoku/>
        <w:wordWrap/>
        <w:overflowPunct/>
        <w:topLinePunct w:val="0"/>
        <w:autoSpaceDE/>
        <w:autoSpaceDN/>
        <w:bidi w:val="0"/>
        <w:adjustRightInd/>
        <w:snapToGrid/>
        <w:spacing w:line="500" w:lineRule="exact"/>
        <w:ind w:firstLine="643" w:firstLineChars="200"/>
        <w:jc w:val="left"/>
        <w:textAlignment w:val="auto"/>
        <w:rPr>
          <w:rFonts w:hint="eastAsia" w:ascii="宋体" w:hAnsi="宋体" w:eastAsia="宋体" w:cs="Times New Roman"/>
          <w:b/>
          <w:bCs/>
          <w:color w:val="000000"/>
          <w:sz w:val="32"/>
          <w:szCs w:val="32"/>
          <w:lang w:val="en-US" w:eastAsia="zh-CN"/>
        </w:rPr>
      </w:pPr>
      <w:r>
        <w:rPr>
          <w:rFonts w:hint="eastAsia" w:ascii="宋体" w:hAnsi="宋体" w:eastAsia="宋体" w:cs="Times New Roman"/>
          <w:b/>
          <w:bCs/>
          <w:color w:val="000000"/>
          <w:sz w:val="32"/>
          <w:szCs w:val="32"/>
          <w:lang w:val="en-US" w:eastAsia="zh-CN"/>
        </w:rPr>
        <w:t>供应商自2021年1月1日以来至今签订的与本次采购内容有关的业绩（1、含2021年1月1日，以签订合同时间为准；2、须提供不少于2个</w:t>
      </w:r>
      <w:r>
        <w:rPr>
          <w:rFonts w:hint="eastAsia" w:ascii="宋体" w:hAnsi="宋体" w:cs="Times New Roman"/>
          <w:b/>
          <w:bCs/>
          <w:color w:val="000000"/>
          <w:sz w:val="32"/>
          <w:szCs w:val="32"/>
          <w:lang w:val="en-US" w:eastAsia="zh-CN"/>
        </w:rPr>
        <w:t>业绩</w:t>
      </w:r>
      <w:r>
        <w:rPr>
          <w:rFonts w:hint="eastAsia" w:ascii="宋体" w:hAnsi="宋体" w:eastAsia="宋体" w:cs="Times New Roman"/>
          <w:b/>
          <w:bCs/>
          <w:color w:val="000000"/>
          <w:sz w:val="32"/>
          <w:szCs w:val="32"/>
          <w:lang w:val="en-US" w:eastAsia="zh-CN"/>
        </w:rPr>
        <w:t>；3、合同为在建、已完工或新承接项目均可，已完工项目</w:t>
      </w:r>
      <w:r>
        <w:rPr>
          <w:rFonts w:hint="eastAsia" w:ascii="宋体" w:hAnsi="宋体" w:cs="Times New Roman"/>
          <w:b/>
          <w:bCs/>
          <w:color w:val="000000"/>
          <w:sz w:val="32"/>
          <w:szCs w:val="32"/>
          <w:lang w:val="en-US" w:eastAsia="zh-CN"/>
        </w:rPr>
        <w:t>可</w:t>
      </w:r>
      <w:r>
        <w:rPr>
          <w:rFonts w:hint="eastAsia" w:ascii="宋体" w:hAnsi="宋体" w:eastAsia="宋体" w:cs="Times New Roman"/>
          <w:b/>
          <w:bCs/>
          <w:color w:val="000000"/>
          <w:sz w:val="32"/>
          <w:szCs w:val="32"/>
          <w:lang w:val="en-US" w:eastAsia="zh-CN"/>
        </w:rPr>
        <w:t>提供合同有关的税票、双方盖章确认的结算单等；4、采购内容有关是指页岩砖）。</w:t>
      </w:r>
    </w:p>
    <w:p>
      <w:pPr>
        <w:pStyle w:val="2"/>
        <w:jc w:val="center"/>
        <w:rPr>
          <w:rFonts w:hint="eastAsia"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（注：格式自拟并盖章）</w:t>
      </w:r>
    </w:p>
    <w:p/>
    <w:p>
      <w:pPr>
        <w:pStyle w:val="2"/>
        <w:rPr>
          <w:lang w:eastAsia="zh-CN"/>
        </w:rPr>
      </w:pPr>
    </w:p>
    <w:p/>
    <w:p>
      <w:pPr>
        <w:rPr>
          <w:rFonts w:ascii="宋体" w:hAnsi="宋体"/>
          <w:color w:val="0D0D0D"/>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（注：此附件应装订入响应性文件中用于谈判评审小组审查）</w:t>
      </w:r>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Pr>
        <w:pStyle w:val="2"/>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附件7</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2"/>
        <w:jc w:val="center"/>
        <w:rPr>
          <w:rFonts w:hint="eastAsia"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（注：格式自拟并盖章）</w:t>
      </w:r>
    </w:p>
    <w:p>
      <w:pPr>
        <w:pStyle w:val="9"/>
        <w:rPr>
          <w:lang w:eastAsia="zh-CN"/>
        </w:rPr>
      </w:pPr>
    </w:p>
    <w:p>
      <w:pPr>
        <w:rPr>
          <w:lang w:eastAsia="zh-CN"/>
        </w:rPr>
      </w:pPr>
    </w:p>
    <w:p>
      <w:pPr>
        <w:pStyle w:val="2"/>
        <w:rPr>
          <w:lang w:eastAsia="zh-CN"/>
        </w:rPr>
      </w:pPr>
    </w:p>
    <w:p>
      <w:pPr>
        <w:pStyle w:val="9"/>
        <w:rPr>
          <w:lang w:eastAsia="zh-CN"/>
        </w:rPr>
      </w:pPr>
    </w:p>
    <w:p>
      <w:pPr>
        <w:rPr>
          <w:lang w:eastAsia="zh-CN"/>
        </w:rPr>
      </w:pPr>
    </w:p>
    <w:p>
      <w:pPr>
        <w:pStyle w:val="2"/>
        <w:rPr>
          <w:lang w:eastAsia="zh-CN"/>
        </w:rPr>
      </w:pPr>
    </w:p>
    <w:p>
      <w:pPr>
        <w:pStyle w:val="9"/>
        <w:rPr>
          <w:lang w:eastAsia="zh-CN"/>
        </w:rPr>
      </w:pPr>
    </w:p>
    <w:p>
      <w:pPr>
        <w:rPr>
          <w:lang w:eastAsia="zh-CN"/>
        </w:rPr>
      </w:pPr>
    </w:p>
    <w:p>
      <w:pPr>
        <w:pStyle w:val="2"/>
        <w:rPr>
          <w:lang w:eastAsia="zh-CN"/>
        </w:rPr>
      </w:pPr>
    </w:p>
    <w:p>
      <w:pPr>
        <w:pStyle w:val="9"/>
        <w:rPr>
          <w:lang w:eastAsia="zh-CN"/>
        </w:rPr>
      </w:pPr>
    </w:p>
    <w:p>
      <w:pPr>
        <w:rPr>
          <w:lang w:eastAsia="zh-CN"/>
        </w:rPr>
      </w:pPr>
    </w:p>
    <w:p>
      <w:pPr>
        <w:pStyle w:val="2"/>
        <w:rPr>
          <w:lang w:eastAsia="zh-CN"/>
        </w:rPr>
      </w:pPr>
    </w:p>
    <w:p>
      <w:pPr>
        <w:pStyle w:val="9"/>
        <w:rPr>
          <w:lang w:eastAsia="zh-CN"/>
        </w:rPr>
      </w:pPr>
    </w:p>
    <w:p>
      <w:pPr>
        <w:rPr>
          <w:lang w:eastAsia="zh-CN"/>
        </w:rPr>
      </w:pPr>
    </w:p>
    <w:p>
      <w:pPr>
        <w:pStyle w:val="2"/>
        <w:rPr>
          <w:lang w:eastAsia="zh-CN"/>
        </w:rPr>
      </w:pPr>
    </w:p>
    <w:p>
      <w:pPr>
        <w:pStyle w:val="9"/>
        <w:rPr>
          <w:lang w:eastAsia="zh-CN"/>
        </w:rPr>
      </w:pPr>
    </w:p>
    <w:p>
      <w:pPr>
        <w:rPr>
          <w:lang w:eastAsia="zh-CN"/>
        </w:rPr>
      </w:pPr>
    </w:p>
    <w:p>
      <w:pPr>
        <w:pStyle w:val="2"/>
        <w:rPr>
          <w:lang w:eastAsia="zh-CN"/>
        </w:rPr>
      </w:pPr>
    </w:p>
    <w:p>
      <w:pPr>
        <w:pStyle w:val="9"/>
        <w:rPr>
          <w:lang w:eastAsia="zh-CN"/>
        </w:rPr>
      </w:pPr>
    </w:p>
    <w:p>
      <w:pPr>
        <w:rPr>
          <w:lang w:eastAsia="zh-CN"/>
        </w:rPr>
      </w:pPr>
    </w:p>
    <w:p>
      <w:pPr>
        <w:pStyle w:val="2"/>
        <w:rPr>
          <w:lang w:eastAsia="zh-CN"/>
        </w:rPr>
      </w:pPr>
    </w:p>
    <w:p>
      <w:pPr>
        <w:pStyle w:val="9"/>
        <w:rPr>
          <w:lang w:eastAsia="zh-CN"/>
        </w:rPr>
      </w:pPr>
    </w:p>
    <w:p>
      <w:pPr>
        <w:rPr>
          <w:lang w:eastAsia="zh-CN"/>
        </w:rPr>
      </w:pPr>
    </w:p>
    <w:p>
      <w:pPr>
        <w:pStyle w:val="2"/>
        <w:rPr>
          <w:lang w:eastAsia="zh-CN"/>
        </w:rPr>
      </w:pPr>
    </w:p>
    <w:p>
      <w:pPr>
        <w:pStyle w:val="9"/>
        <w:rPr>
          <w:lang w:eastAsia="zh-CN"/>
        </w:rPr>
      </w:pPr>
    </w:p>
    <w:p>
      <w:pPr>
        <w:pStyle w:val="2"/>
        <w:rPr>
          <w:rFonts w:hint="eastAsia" w:asciiTheme="majorEastAsia" w:hAnsiTheme="majorEastAsia" w:eastAsiaTheme="majorEastAsia" w:cstheme="majorEastAsia"/>
          <w:sz w:val="24"/>
          <w:szCs w:val="24"/>
          <w:lang w:val="en-US" w:eastAsia="zh-CN"/>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908"/>
        <w:gridCol w:w="1623"/>
        <w:gridCol w:w="122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材料出厂价</w:t>
            </w:r>
            <w:r>
              <w:rPr>
                <w:rFonts w:hint="eastAsia" w:ascii="宋体" w:hAnsi="宋体" w:cs="宋体"/>
                <w:b/>
                <w:bCs/>
                <w:kern w:val="0"/>
                <w:sz w:val="40"/>
                <w:szCs w:val="40"/>
              </w:rPr>
              <w:t>报价</w:t>
            </w:r>
            <w:r>
              <w:rPr>
                <w:rFonts w:hint="eastAsia" w:ascii="宋体" w:hAnsi="宋体" w:cs="宋体"/>
                <w:b/>
                <w:bCs/>
                <w:kern w:val="0"/>
                <w:sz w:val="40"/>
                <w:szCs w:val="40"/>
                <w:lang w:val="en-US" w:eastAsia="zh-CN"/>
              </w:rPr>
              <w:t>表（最终报价）</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单位</w:t>
            </w:r>
          </w:p>
        </w:tc>
        <w:tc>
          <w:tcPr>
            <w:tcW w:w="1623"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含税出厂单价（元）</w:t>
            </w:r>
          </w:p>
        </w:tc>
        <w:tc>
          <w:tcPr>
            <w:tcW w:w="1227"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备注</w:t>
            </w:r>
          </w:p>
        </w:tc>
      </w:tr>
      <w:tr>
        <w:tblPrEx>
          <w:tblCellMar>
            <w:top w:w="0" w:type="dxa"/>
            <w:left w:w="108" w:type="dxa"/>
            <w:bottom w:w="0" w:type="dxa"/>
            <w:right w:w="108" w:type="dxa"/>
          </w:tblCellMar>
        </w:tblPrEx>
        <w:trPr>
          <w:trHeight w:val="60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匹</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62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971"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tcPr>
          <w:p>
            <w:pPr>
              <w:widowControl/>
              <w:jc w:val="left"/>
              <w:rPr>
                <w:rFonts w:ascii="宋体" w:hAnsi="宋体" w:cs="宋体"/>
                <w:color w:val="000000"/>
                <w:kern w:val="0"/>
                <w:sz w:val="22"/>
                <w:szCs w:val="22"/>
              </w:rPr>
            </w:pPr>
            <w:r>
              <w:rPr>
                <w:rFonts w:hint="eastAsia" w:ascii="宋体" w:hAnsi="宋体" w:cs="宋体"/>
                <w:color w:val="FF0000"/>
                <w:kern w:val="0"/>
                <w:sz w:val="22"/>
                <w:szCs w:val="22"/>
              </w:rPr>
              <w:t>注：1、报价包含</w:t>
            </w:r>
            <w:r>
              <w:rPr>
                <w:rFonts w:hint="eastAsia" w:ascii="宋体" w:hAnsi="宋体" w:cs="宋体"/>
                <w:color w:val="FF0000"/>
                <w:kern w:val="0"/>
                <w:sz w:val="22"/>
                <w:szCs w:val="22"/>
                <w:lang w:val="en-US" w:eastAsia="zh-CN"/>
              </w:rPr>
              <w:t>材料</w:t>
            </w:r>
            <w:r>
              <w:rPr>
                <w:rFonts w:hint="eastAsia" w:ascii="宋体" w:hAnsi="宋体" w:cs="宋体"/>
                <w:color w:val="FF0000"/>
                <w:kern w:val="0"/>
                <w:sz w:val="22"/>
                <w:szCs w:val="22"/>
              </w:rPr>
              <w:t>、</w:t>
            </w:r>
            <w:r>
              <w:rPr>
                <w:rFonts w:hint="eastAsia" w:ascii="宋体" w:hAnsi="宋体" w:cs="宋体"/>
                <w:color w:val="FF0000"/>
                <w:kern w:val="0"/>
                <w:sz w:val="22"/>
                <w:szCs w:val="22"/>
                <w:lang w:val="en-US" w:eastAsia="zh-CN"/>
              </w:rPr>
              <w:t>打包费</w:t>
            </w:r>
            <w:r>
              <w:rPr>
                <w:rFonts w:hint="eastAsia" w:ascii="宋体" w:hAnsi="宋体" w:cs="宋体"/>
                <w:color w:val="FF0000"/>
                <w:kern w:val="0"/>
                <w:sz w:val="22"/>
                <w:szCs w:val="22"/>
              </w:rPr>
              <w:t>、上车、利润、</w:t>
            </w:r>
            <w:r>
              <w:rPr>
                <w:rFonts w:hint="eastAsia" w:ascii="宋体" w:hAnsi="宋体" w:cs="宋体"/>
                <w:color w:val="FF0000"/>
                <w:kern w:val="0"/>
                <w:sz w:val="22"/>
                <w:szCs w:val="22"/>
                <w:lang w:val="en-US" w:eastAsia="zh-CN"/>
              </w:rPr>
              <w:t>税金、</w:t>
            </w:r>
            <w:r>
              <w:rPr>
                <w:rFonts w:hint="eastAsia" w:ascii="宋体" w:hAnsi="宋体" w:cs="宋体"/>
                <w:color w:val="FF0000"/>
                <w:kern w:val="0"/>
                <w:sz w:val="22"/>
                <w:szCs w:val="22"/>
              </w:rPr>
              <w:t>风险及管理</w:t>
            </w:r>
            <w:r>
              <w:rPr>
                <w:rFonts w:hint="eastAsia" w:ascii="宋体" w:hAnsi="宋体" w:cs="宋体"/>
                <w:color w:val="FF0000"/>
                <w:kern w:val="0"/>
                <w:sz w:val="22"/>
                <w:szCs w:val="22"/>
                <w:lang w:val="en-US" w:eastAsia="zh-CN"/>
              </w:rPr>
              <w:t>等</w:t>
            </w:r>
            <w:r>
              <w:rPr>
                <w:rFonts w:hint="eastAsia" w:ascii="宋体" w:hAnsi="宋体" w:cs="宋体"/>
                <w:color w:val="FF0000"/>
                <w:kern w:val="0"/>
                <w:sz w:val="22"/>
                <w:szCs w:val="22"/>
              </w:rPr>
              <w:t>所有费用，</w:t>
            </w:r>
            <w:r>
              <w:rPr>
                <w:rFonts w:hint="eastAsia" w:ascii="宋体" w:hAnsi="宋体" w:cs="宋体"/>
                <w:color w:val="FF0000"/>
                <w:kern w:val="0"/>
                <w:sz w:val="22"/>
                <w:szCs w:val="22"/>
                <w:lang w:val="en-US" w:eastAsia="zh-CN"/>
              </w:rPr>
              <w:t>2、房建类项目包含下车，供应商综合考虑在报价中，市政道路、装修项目由采购人自行下车，3</w:t>
            </w:r>
            <w:r>
              <w:rPr>
                <w:rFonts w:hint="eastAsia" w:ascii="宋体" w:hAnsi="宋体" w:cs="宋体"/>
                <w:color w:val="FF0000"/>
                <w:kern w:val="0"/>
                <w:sz w:val="22"/>
                <w:szCs w:val="22"/>
              </w:rPr>
              <w:t>、报价应加盖公司公章。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rPr>
          <w:lang w:eastAsia="zh-CN"/>
        </w:rPr>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）无需装入谈判文件中。</w:t>
      </w:r>
    </w:p>
    <w:p/>
    <w:p>
      <w:pPr>
        <w:spacing w:line="500" w:lineRule="exact"/>
        <w:rPr>
          <w:rFonts w:hint="eastAsia" w:ascii="宋体" w:hAnsi="宋体"/>
          <w:color w:val="000000"/>
          <w:sz w:val="24"/>
          <w:szCs w:val="24"/>
        </w:rPr>
      </w:pPr>
    </w:p>
    <w:p>
      <w:pPr>
        <w:pStyle w:val="2"/>
        <w:rPr>
          <w:rFonts w:hint="eastAsia"/>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到场区域：雨城区、名山、经开区</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rPr>
          <w:lang w:eastAsia="zh-CN"/>
        </w:rPr>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）无需装入谈判文件中。</w:t>
      </w:r>
    </w:p>
    <w:p>
      <w:pPr>
        <w:pStyle w:val="2"/>
        <w:rPr>
          <w:lang w:eastAsia="zh-CN"/>
        </w:rPr>
      </w:pPr>
    </w:p>
    <w:p>
      <w:pPr>
        <w:pStyle w:val="3"/>
        <w:rPr>
          <w:lang w:eastAsia="zh-CN"/>
        </w:rPr>
      </w:pPr>
    </w:p>
    <w:p>
      <w:pPr>
        <w:pStyle w:val="2"/>
        <w:rPr>
          <w:lang w:eastAsia="zh-CN"/>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到场区域：汉源、九襄主城区</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rPr>
          <w:rFonts w:hint="eastAsia"/>
          <w:b/>
          <w:bCs/>
          <w:color w:val="FF0000"/>
          <w:sz w:val="24"/>
          <w:szCs w:val="24"/>
          <w:lang w:eastAsia="zh-CN"/>
        </w:rPr>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）无需装入谈判文件中。</w:t>
      </w:r>
    </w:p>
    <w:p>
      <w:pPr>
        <w:pStyle w:val="2"/>
        <w:rPr>
          <w:lang w:eastAsia="zh-CN"/>
        </w:rPr>
      </w:pPr>
    </w:p>
    <w:p>
      <w:pPr>
        <w:pStyle w:val="2"/>
        <w:rPr>
          <w:lang w:eastAsia="zh-CN"/>
        </w:rPr>
      </w:pPr>
    </w:p>
    <w:p>
      <w:pPr>
        <w:pStyle w:val="3"/>
        <w:rPr>
          <w:lang w:eastAsia="zh-CN"/>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到场区域：芦山、宝兴</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rPr>
          <w:rFonts w:hint="eastAsia"/>
          <w:b/>
          <w:bCs/>
          <w:color w:val="FF0000"/>
          <w:sz w:val="24"/>
          <w:szCs w:val="24"/>
          <w:lang w:eastAsia="zh-CN"/>
        </w:rPr>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）无需装入谈判文件中。</w:t>
      </w:r>
    </w:p>
    <w:p>
      <w:pPr>
        <w:pStyle w:val="9"/>
        <w:rPr>
          <w:lang w:eastAsia="zh-CN"/>
        </w:rPr>
      </w:pPr>
    </w:p>
    <w:p>
      <w:pPr>
        <w:pStyle w:val="2"/>
        <w:rPr>
          <w:lang w:eastAsia="zh-CN"/>
        </w:rPr>
      </w:pPr>
    </w:p>
    <w:tbl>
      <w:tblPr>
        <w:tblStyle w:val="16"/>
        <w:tblW w:w="9654" w:type="dxa"/>
        <w:tblInd w:w="29" w:type="dxa"/>
        <w:tblLayout w:type="fixed"/>
        <w:tblCellMar>
          <w:top w:w="0" w:type="dxa"/>
          <w:left w:w="108" w:type="dxa"/>
          <w:bottom w:w="0" w:type="dxa"/>
          <w:right w:w="108" w:type="dxa"/>
        </w:tblCellMar>
      </w:tblPr>
      <w:tblGrid>
        <w:gridCol w:w="736"/>
        <w:gridCol w:w="1909"/>
        <w:gridCol w:w="1983"/>
        <w:gridCol w:w="1372"/>
        <w:gridCol w:w="100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到场区域：石棉</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13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含税运输单价</w:t>
            </w:r>
          </w:p>
        </w:tc>
        <w:tc>
          <w:tcPr>
            <w:tcW w:w="10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税率</w:t>
            </w:r>
          </w:p>
        </w:tc>
        <w:tc>
          <w:tcPr>
            <w:tcW w:w="13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车型</w:t>
            </w:r>
          </w:p>
        </w:tc>
        <w:tc>
          <w:tcPr>
            <w:tcW w:w="12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一车不低于的数量</w:t>
            </w:r>
          </w:p>
        </w:tc>
      </w:tr>
      <w:tr>
        <w:tblPrEx>
          <w:tblCellMar>
            <w:top w:w="0" w:type="dxa"/>
            <w:left w:w="108" w:type="dxa"/>
            <w:bottom w:w="0" w:type="dxa"/>
            <w:right w:w="108" w:type="dxa"/>
          </w:tblCellMar>
        </w:tblPrEx>
        <w:trPr>
          <w:trHeight w:val="303"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vMerge w:val="restart"/>
            <w:tcBorders>
              <w:top w:val="nil"/>
              <w:left w:val="nil"/>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303"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元/匹</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12"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12"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736" w:type="dxa"/>
            <w:vMerge w:val="restart"/>
            <w:tcBorders>
              <w:top w:val="nil"/>
              <w:left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元/m³</w:t>
            </w:r>
          </w:p>
        </w:tc>
        <w:tc>
          <w:tcPr>
            <w:tcW w:w="1009" w:type="dxa"/>
            <w:vMerge w:val="restart"/>
            <w:tcBorders>
              <w:top w:val="nil"/>
              <w:left w:val="nil"/>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77" w:type="dxa"/>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vMerge w:val="restart"/>
            <w:tcBorders>
              <w:top w:val="nil"/>
              <w:left w:val="nil"/>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300" w:hRule="atLeast"/>
        </w:trPr>
        <w:tc>
          <w:tcPr>
            <w:tcW w:w="736" w:type="dxa"/>
            <w:vMerge w:val="continue"/>
            <w:tcBorders>
              <w:left w:val="single" w:color="auto" w:sz="4" w:space="0"/>
              <w:bottom w:val="single" w:color="auto" w:sz="4" w:space="0"/>
              <w:right w:val="single" w:color="auto" w:sz="4" w:space="0"/>
            </w:tcBorders>
            <w:shd w:val="clear" w:color="auto" w:fill="auto"/>
            <w:noWrap/>
            <w:vAlign w:val="center"/>
          </w:tcPr>
          <w:p>
            <w:pPr>
              <w:widowControl/>
              <w:jc w:val="left"/>
            </w:pPr>
          </w:p>
        </w:tc>
        <w:tc>
          <w:tcPr>
            <w:tcW w:w="1909" w:type="dxa"/>
            <w:vMerge w:val="continue"/>
            <w:tcBorders>
              <w:left w:val="nil"/>
              <w:bottom w:val="single" w:color="auto" w:sz="4" w:space="0"/>
              <w:right w:val="single" w:color="auto" w:sz="4" w:space="0"/>
            </w:tcBorders>
            <w:shd w:val="clear" w:color="auto" w:fill="auto"/>
            <w:vAlign w:val="center"/>
          </w:tcPr>
          <w:p>
            <w:pPr>
              <w:widowControl/>
              <w:jc w:val="left"/>
            </w:pPr>
          </w:p>
        </w:tc>
        <w:tc>
          <w:tcPr>
            <w:tcW w:w="1983" w:type="dxa"/>
            <w:vMerge w:val="continue"/>
            <w:tcBorders>
              <w:left w:val="nil"/>
              <w:bottom w:val="single" w:color="auto" w:sz="4" w:space="0"/>
              <w:right w:val="single" w:color="auto" w:sz="4" w:space="0"/>
            </w:tcBorders>
            <w:shd w:val="clear" w:color="auto" w:fill="auto"/>
            <w:vAlign w:val="center"/>
          </w:tcPr>
          <w:p>
            <w:pPr>
              <w:widowControl/>
              <w:jc w:val="left"/>
            </w:pPr>
          </w:p>
        </w:tc>
        <w:tc>
          <w:tcPr>
            <w:tcW w:w="137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元/车</w:t>
            </w:r>
          </w:p>
        </w:tc>
        <w:tc>
          <w:tcPr>
            <w:tcW w:w="1009" w:type="dxa"/>
            <w:vMerge w:val="continue"/>
            <w:tcBorders>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c>
          <w:tcPr>
            <w:tcW w:w="1377"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c>
          <w:tcPr>
            <w:tcW w:w="1268"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）无需装入谈判文件中。</w:t>
      </w:r>
    </w:p>
    <w:sectPr>
      <w:footerReference r:id="rId5" w:type="default"/>
      <w:footnotePr>
        <w:pos w:val="beneathText"/>
      </w:footnotePr>
      <w:pgSz w:w="11905" w:h="16837"/>
      <w:pgMar w:top="1332" w:right="1361" w:bottom="1332" w:left="1361" w:header="680"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60288;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lang w:eastAsia="zh-CN"/>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rPr>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pPr>
    <w:r>
      <w:rPr>
        <w:rFonts w:hint="eastAsia" w:eastAsia="宋体"/>
        <w:lang w:eastAsia="zh-CN"/>
      </w:rPr>
      <w:drawing>
        <wp:inline distT="0" distB="0" distL="114300" distR="114300">
          <wp:extent cx="2087880" cy="492760"/>
          <wp:effectExtent l="0" t="0" r="7620" b="2540"/>
          <wp:docPr id="3" name="图片 3"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5"/>
      <w:lvlText w:val="%1."/>
      <w:lvlJc w:val="left"/>
      <w:pPr>
        <w:tabs>
          <w:tab w:val="left" w:pos="420"/>
        </w:tabs>
        <w:ind w:left="430" w:hanging="430"/>
      </w:pPr>
      <w:rPr>
        <w:rFonts w:hint="eastAsia"/>
      </w:rPr>
    </w:lvl>
    <w:lvl w:ilvl="1" w:tentative="0">
      <w:start w:val="1"/>
      <w:numFmt w:val="decimal"/>
      <w:pStyle w:val="26"/>
      <w:lvlText w:val="%1.%2"/>
      <w:lvlJc w:val="left"/>
      <w:pPr>
        <w:tabs>
          <w:tab w:val="left" w:pos="842"/>
        </w:tabs>
        <w:ind w:left="842" w:hanging="700"/>
      </w:pPr>
      <w:rPr>
        <w:rFonts w:hint="eastAsia"/>
      </w:rPr>
    </w:lvl>
    <w:lvl w:ilvl="2" w:tentative="0">
      <w:start w:val="1"/>
      <w:numFmt w:val="decimal"/>
      <w:pStyle w:val="27"/>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YWFmNjFlYWRjYjg0M2U2ZDdmMGRhNWJmOTdjZWQifQ=="/>
  </w:docVars>
  <w:rsids>
    <w:rsidRoot w:val="15101262"/>
    <w:rsid w:val="00021E6E"/>
    <w:rsid w:val="00030998"/>
    <w:rsid w:val="00040C1A"/>
    <w:rsid w:val="00046C7E"/>
    <w:rsid w:val="0007650F"/>
    <w:rsid w:val="00090519"/>
    <w:rsid w:val="000E42AB"/>
    <w:rsid w:val="001005AA"/>
    <w:rsid w:val="001B5399"/>
    <w:rsid w:val="00237210"/>
    <w:rsid w:val="002466E8"/>
    <w:rsid w:val="00256A10"/>
    <w:rsid w:val="00262756"/>
    <w:rsid w:val="00275048"/>
    <w:rsid w:val="0036551A"/>
    <w:rsid w:val="00374179"/>
    <w:rsid w:val="0037428D"/>
    <w:rsid w:val="0038594D"/>
    <w:rsid w:val="003921D9"/>
    <w:rsid w:val="003A5A6D"/>
    <w:rsid w:val="003C1ED5"/>
    <w:rsid w:val="003F321D"/>
    <w:rsid w:val="004042E8"/>
    <w:rsid w:val="004169FC"/>
    <w:rsid w:val="00455623"/>
    <w:rsid w:val="00491344"/>
    <w:rsid w:val="004B5D54"/>
    <w:rsid w:val="004F76E1"/>
    <w:rsid w:val="005B5E16"/>
    <w:rsid w:val="00610F8C"/>
    <w:rsid w:val="006114E4"/>
    <w:rsid w:val="00630661"/>
    <w:rsid w:val="00687C47"/>
    <w:rsid w:val="00696225"/>
    <w:rsid w:val="0069744B"/>
    <w:rsid w:val="006B7F89"/>
    <w:rsid w:val="006E4631"/>
    <w:rsid w:val="006E65BD"/>
    <w:rsid w:val="00701D5E"/>
    <w:rsid w:val="0071085C"/>
    <w:rsid w:val="007269C5"/>
    <w:rsid w:val="007B26A9"/>
    <w:rsid w:val="007D542F"/>
    <w:rsid w:val="00805F0A"/>
    <w:rsid w:val="00824182"/>
    <w:rsid w:val="008407C2"/>
    <w:rsid w:val="008408B7"/>
    <w:rsid w:val="00891BA0"/>
    <w:rsid w:val="008A7AE9"/>
    <w:rsid w:val="008C0B60"/>
    <w:rsid w:val="008C36B0"/>
    <w:rsid w:val="008C43E3"/>
    <w:rsid w:val="00914F88"/>
    <w:rsid w:val="00934B5D"/>
    <w:rsid w:val="00966DA0"/>
    <w:rsid w:val="009F2859"/>
    <w:rsid w:val="009F5020"/>
    <w:rsid w:val="00A935AA"/>
    <w:rsid w:val="00AA2DB6"/>
    <w:rsid w:val="00AB0A5E"/>
    <w:rsid w:val="00AB6F2C"/>
    <w:rsid w:val="00AC447D"/>
    <w:rsid w:val="00AC6F66"/>
    <w:rsid w:val="00B314E6"/>
    <w:rsid w:val="00B5646C"/>
    <w:rsid w:val="00B95160"/>
    <w:rsid w:val="00BC66D7"/>
    <w:rsid w:val="00BD2EB2"/>
    <w:rsid w:val="00C00875"/>
    <w:rsid w:val="00C26FC3"/>
    <w:rsid w:val="00C63F08"/>
    <w:rsid w:val="00C972FD"/>
    <w:rsid w:val="00CA17B6"/>
    <w:rsid w:val="00CB0B76"/>
    <w:rsid w:val="00CD4C9E"/>
    <w:rsid w:val="00D009E5"/>
    <w:rsid w:val="00D2025C"/>
    <w:rsid w:val="00D240EB"/>
    <w:rsid w:val="00D63D50"/>
    <w:rsid w:val="00DA3DA1"/>
    <w:rsid w:val="00DB7259"/>
    <w:rsid w:val="00E14BBB"/>
    <w:rsid w:val="00E442C9"/>
    <w:rsid w:val="00E4532B"/>
    <w:rsid w:val="00EC167E"/>
    <w:rsid w:val="00ED6736"/>
    <w:rsid w:val="00F03606"/>
    <w:rsid w:val="00F26101"/>
    <w:rsid w:val="00F40BDB"/>
    <w:rsid w:val="00F93C33"/>
    <w:rsid w:val="00FC3D3B"/>
    <w:rsid w:val="00FF239B"/>
    <w:rsid w:val="01BB2590"/>
    <w:rsid w:val="01DE3BF5"/>
    <w:rsid w:val="01E0400B"/>
    <w:rsid w:val="020204E2"/>
    <w:rsid w:val="02336974"/>
    <w:rsid w:val="024B1593"/>
    <w:rsid w:val="0256332A"/>
    <w:rsid w:val="026F1BC5"/>
    <w:rsid w:val="02BF15A4"/>
    <w:rsid w:val="02D0730E"/>
    <w:rsid w:val="02F835AD"/>
    <w:rsid w:val="033B120E"/>
    <w:rsid w:val="03426482"/>
    <w:rsid w:val="034E46F5"/>
    <w:rsid w:val="035940C8"/>
    <w:rsid w:val="03736105"/>
    <w:rsid w:val="03855E78"/>
    <w:rsid w:val="0391318B"/>
    <w:rsid w:val="03A7591A"/>
    <w:rsid w:val="03EA40F3"/>
    <w:rsid w:val="03F20BFA"/>
    <w:rsid w:val="0403107D"/>
    <w:rsid w:val="041929F1"/>
    <w:rsid w:val="0439766E"/>
    <w:rsid w:val="04707BF5"/>
    <w:rsid w:val="048724BD"/>
    <w:rsid w:val="04DF71BF"/>
    <w:rsid w:val="05017DE9"/>
    <w:rsid w:val="0532664F"/>
    <w:rsid w:val="058D598A"/>
    <w:rsid w:val="05B77F8D"/>
    <w:rsid w:val="061B76C5"/>
    <w:rsid w:val="063019C7"/>
    <w:rsid w:val="063876A4"/>
    <w:rsid w:val="06EB071E"/>
    <w:rsid w:val="0747458B"/>
    <w:rsid w:val="074832E7"/>
    <w:rsid w:val="076B407C"/>
    <w:rsid w:val="07A45435"/>
    <w:rsid w:val="0804178C"/>
    <w:rsid w:val="08286B2B"/>
    <w:rsid w:val="089C585C"/>
    <w:rsid w:val="08B655EB"/>
    <w:rsid w:val="08D26363"/>
    <w:rsid w:val="08E753B1"/>
    <w:rsid w:val="09015EF9"/>
    <w:rsid w:val="09450F54"/>
    <w:rsid w:val="0946445B"/>
    <w:rsid w:val="09505939"/>
    <w:rsid w:val="09C10955"/>
    <w:rsid w:val="09D2169F"/>
    <w:rsid w:val="0A0106F5"/>
    <w:rsid w:val="0A485495"/>
    <w:rsid w:val="0A582F7D"/>
    <w:rsid w:val="0A6458D4"/>
    <w:rsid w:val="0A691178"/>
    <w:rsid w:val="0AAA6BD0"/>
    <w:rsid w:val="0AB15C77"/>
    <w:rsid w:val="0AB34714"/>
    <w:rsid w:val="0ABC24F6"/>
    <w:rsid w:val="0B1F1CF8"/>
    <w:rsid w:val="0B2C1082"/>
    <w:rsid w:val="0B621F3B"/>
    <w:rsid w:val="0BB121B4"/>
    <w:rsid w:val="0BB1315C"/>
    <w:rsid w:val="0BB511B9"/>
    <w:rsid w:val="0BF32787"/>
    <w:rsid w:val="0C117D07"/>
    <w:rsid w:val="0C5F528C"/>
    <w:rsid w:val="0CB66A21"/>
    <w:rsid w:val="0D3244D4"/>
    <w:rsid w:val="0D597D28"/>
    <w:rsid w:val="0D644DF8"/>
    <w:rsid w:val="0D7B6DA5"/>
    <w:rsid w:val="0D8524AC"/>
    <w:rsid w:val="0E067CCE"/>
    <w:rsid w:val="0E0762A9"/>
    <w:rsid w:val="0E1E3FD4"/>
    <w:rsid w:val="0E3C5D64"/>
    <w:rsid w:val="0E5352D5"/>
    <w:rsid w:val="0E7C266A"/>
    <w:rsid w:val="0E947DC3"/>
    <w:rsid w:val="0F2E3683"/>
    <w:rsid w:val="0F6C4277"/>
    <w:rsid w:val="0F7863A6"/>
    <w:rsid w:val="0F83104D"/>
    <w:rsid w:val="0F8A1D8A"/>
    <w:rsid w:val="0FA22032"/>
    <w:rsid w:val="0FA903EF"/>
    <w:rsid w:val="0FBC4EDC"/>
    <w:rsid w:val="0FCF7EC5"/>
    <w:rsid w:val="10B30102"/>
    <w:rsid w:val="10CB4A9D"/>
    <w:rsid w:val="10F25766"/>
    <w:rsid w:val="10FB5E9E"/>
    <w:rsid w:val="113C2384"/>
    <w:rsid w:val="11456C75"/>
    <w:rsid w:val="1156428F"/>
    <w:rsid w:val="11A81C48"/>
    <w:rsid w:val="1219212E"/>
    <w:rsid w:val="128F61D1"/>
    <w:rsid w:val="131930FF"/>
    <w:rsid w:val="13491142"/>
    <w:rsid w:val="13927B02"/>
    <w:rsid w:val="13D1387A"/>
    <w:rsid w:val="13E72709"/>
    <w:rsid w:val="14105B28"/>
    <w:rsid w:val="14327E28"/>
    <w:rsid w:val="14564BB5"/>
    <w:rsid w:val="146F5E52"/>
    <w:rsid w:val="14BF6B2C"/>
    <w:rsid w:val="1500256E"/>
    <w:rsid w:val="150704CF"/>
    <w:rsid w:val="15095BF5"/>
    <w:rsid w:val="15101262"/>
    <w:rsid w:val="152028A5"/>
    <w:rsid w:val="152C0A51"/>
    <w:rsid w:val="1548367B"/>
    <w:rsid w:val="15583277"/>
    <w:rsid w:val="15610299"/>
    <w:rsid w:val="156D2FEA"/>
    <w:rsid w:val="15C03212"/>
    <w:rsid w:val="15CE0674"/>
    <w:rsid w:val="15E37204"/>
    <w:rsid w:val="15EA0A96"/>
    <w:rsid w:val="16094ACE"/>
    <w:rsid w:val="1652691E"/>
    <w:rsid w:val="16633B4D"/>
    <w:rsid w:val="16B07251"/>
    <w:rsid w:val="16FF651C"/>
    <w:rsid w:val="175C00D1"/>
    <w:rsid w:val="1778280A"/>
    <w:rsid w:val="17885FB1"/>
    <w:rsid w:val="17C13510"/>
    <w:rsid w:val="17CB2578"/>
    <w:rsid w:val="17D7430F"/>
    <w:rsid w:val="17DC50FB"/>
    <w:rsid w:val="17F41CAF"/>
    <w:rsid w:val="182C6732"/>
    <w:rsid w:val="18351D74"/>
    <w:rsid w:val="18381785"/>
    <w:rsid w:val="186772AA"/>
    <w:rsid w:val="18A32195"/>
    <w:rsid w:val="18B87314"/>
    <w:rsid w:val="18C96881"/>
    <w:rsid w:val="18D12BC9"/>
    <w:rsid w:val="18D35CA5"/>
    <w:rsid w:val="19415854"/>
    <w:rsid w:val="194328A2"/>
    <w:rsid w:val="194A33AA"/>
    <w:rsid w:val="19867FD8"/>
    <w:rsid w:val="198948BA"/>
    <w:rsid w:val="19A356E3"/>
    <w:rsid w:val="19B32EA5"/>
    <w:rsid w:val="19F84BD8"/>
    <w:rsid w:val="1A0D24D2"/>
    <w:rsid w:val="1A802E1F"/>
    <w:rsid w:val="1B502DCE"/>
    <w:rsid w:val="1B5468D6"/>
    <w:rsid w:val="1B832BA7"/>
    <w:rsid w:val="1BE938A9"/>
    <w:rsid w:val="1BEA7610"/>
    <w:rsid w:val="1BF715DD"/>
    <w:rsid w:val="1C0C71B1"/>
    <w:rsid w:val="1CAA0778"/>
    <w:rsid w:val="1CCE63BB"/>
    <w:rsid w:val="1CD35655"/>
    <w:rsid w:val="1CDF4BA0"/>
    <w:rsid w:val="1D5C75F5"/>
    <w:rsid w:val="1D952A0C"/>
    <w:rsid w:val="1D9531D6"/>
    <w:rsid w:val="1DA42967"/>
    <w:rsid w:val="1DB25B36"/>
    <w:rsid w:val="1DDF52C6"/>
    <w:rsid w:val="1DFD2B10"/>
    <w:rsid w:val="1E2B3E92"/>
    <w:rsid w:val="1F2B5CAC"/>
    <w:rsid w:val="1F547DD9"/>
    <w:rsid w:val="1F836894"/>
    <w:rsid w:val="1FDA6D2A"/>
    <w:rsid w:val="201B3FFC"/>
    <w:rsid w:val="204317FE"/>
    <w:rsid w:val="20653333"/>
    <w:rsid w:val="207F308B"/>
    <w:rsid w:val="20912EF0"/>
    <w:rsid w:val="20A1752D"/>
    <w:rsid w:val="20A2791F"/>
    <w:rsid w:val="20D03BCF"/>
    <w:rsid w:val="210134B8"/>
    <w:rsid w:val="21165D06"/>
    <w:rsid w:val="212163F9"/>
    <w:rsid w:val="213A083F"/>
    <w:rsid w:val="21822847"/>
    <w:rsid w:val="21A7166C"/>
    <w:rsid w:val="21C342FE"/>
    <w:rsid w:val="21F52495"/>
    <w:rsid w:val="21FD7222"/>
    <w:rsid w:val="222636C8"/>
    <w:rsid w:val="22546C2A"/>
    <w:rsid w:val="22591B07"/>
    <w:rsid w:val="22966964"/>
    <w:rsid w:val="22A23500"/>
    <w:rsid w:val="233A2774"/>
    <w:rsid w:val="23924B19"/>
    <w:rsid w:val="24162D1E"/>
    <w:rsid w:val="242C2FB3"/>
    <w:rsid w:val="24594827"/>
    <w:rsid w:val="247A681D"/>
    <w:rsid w:val="24A94F26"/>
    <w:rsid w:val="24C93678"/>
    <w:rsid w:val="25126A5B"/>
    <w:rsid w:val="2546611D"/>
    <w:rsid w:val="2574477E"/>
    <w:rsid w:val="257948C0"/>
    <w:rsid w:val="25874DD6"/>
    <w:rsid w:val="25B45528"/>
    <w:rsid w:val="25BE1472"/>
    <w:rsid w:val="25D1645F"/>
    <w:rsid w:val="25DB501F"/>
    <w:rsid w:val="261530BC"/>
    <w:rsid w:val="263844E9"/>
    <w:rsid w:val="26386B09"/>
    <w:rsid w:val="268362C1"/>
    <w:rsid w:val="268E2BF3"/>
    <w:rsid w:val="26A42AB2"/>
    <w:rsid w:val="27005E46"/>
    <w:rsid w:val="270300B5"/>
    <w:rsid w:val="2712050B"/>
    <w:rsid w:val="271F5E70"/>
    <w:rsid w:val="27262EF3"/>
    <w:rsid w:val="272F14A1"/>
    <w:rsid w:val="276E50A2"/>
    <w:rsid w:val="27891438"/>
    <w:rsid w:val="27935C54"/>
    <w:rsid w:val="279462E5"/>
    <w:rsid w:val="27F756F9"/>
    <w:rsid w:val="280A71C5"/>
    <w:rsid w:val="282124CC"/>
    <w:rsid w:val="284C61B1"/>
    <w:rsid w:val="286B525F"/>
    <w:rsid w:val="286D35F5"/>
    <w:rsid w:val="28C728FF"/>
    <w:rsid w:val="28DA4B59"/>
    <w:rsid w:val="29372AD8"/>
    <w:rsid w:val="29427E6A"/>
    <w:rsid w:val="29552180"/>
    <w:rsid w:val="29553B36"/>
    <w:rsid w:val="29A9603F"/>
    <w:rsid w:val="29BD4B94"/>
    <w:rsid w:val="29EF3C6E"/>
    <w:rsid w:val="2A4020B6"/>
    <w:rsid w:val="2A65508F"/>
    <w:rsid w:val="2A7044AA"/>
    <w:rsid w:val="2AE337D3"/>
    <w:rsid w:val="2AFE48DB"/>
    <w:rsid w:val="2B0362A2"/>
    <w:rsid w:val="2B4C75A3"/>
    <w:rsid w:val="2B6761B2"/>
    <w:rsid w:val="2B6E5792"/>
    <w:rsid w:val="2B906F52"/>
    <w:rsid w:val="2BB8707F"/>
    <w:rsid w:val="2C536693"/>
    <w:rsid w:val="2C9E79D6"/>
    <w:rsid w:val="2D0E4D7C"/>
    <w:rsid w:val="2DAC4350"/>
    <w:rsid w:val="2E354D5E"/>
    <w:rsid w:val="2E360EE3"/>
    <w:rsid w:val="2E5D531E"/>
    <w:rsid w:val="2E5E2F71"/>
    <w:rsid w:val="2EB060C2"/>
    <w:rsid w:val="2EB625C0"/>
    <w:rsid w:val="2ECB2E37"/>
    <w:rsid w:val="2F033315"/>
    <w:rsid w:val="2F0A315E"/>
    <w:rsid w:val="304E3F90"/>
    <w:rsid w:val="30851700"/>
    <w:rsid w:val="30917156"/>
    <w:rsid w:val="30974FB8"/>
    <w:rsid w:val="30A25B3E"/>
    <w:rsid w:val="30A658DE"/>
    <w:rsid w:val="30D84B3B"/>
    <w:rsid w:val="312C1478"/>
    <w:rsid w:val="312C3575"/>
    <w:rsid w:val="312D694E"/>
    <w:rsid w:val="312F2A1A"/>
    <w:rsid w:val="318E0C24"/>
    <w:rsid w:val="31BD5E7B"/>
    <w:rsid w:val="31C252A3"/>
    <w:rsid w:val="31EB5C6F"/>
    <w:rsid w:val="320F052A"/>
    <w:rsid w:val="3212499D"/>
    <w:rsid w:val="327F6A92"/>
    <w:rsid w:val="3353767C"/>
    <w:rsid w:val="34367622"/>
    <w:rsid w:val="346627C0"/>
    <w:rsid w:val="3482355D"/>
    <w:rsid w:val="34A044E2"/>
    <w:rsid w:val="34B92009"/>
    <w:rsid w:val="34DE4F6D"/>
    <w:rsid w:val="34F62B42"/>
    <w:rsid w:val="3523254D"/>
    <w:rsid w:val="35263303"/>
    <w:rsid w:val="358C7E49"/>
    <w:rsid w:val="35904557"/>
    <w:rsid w:val="35A1778D"/>
    <w:rsid w:val="35A84271"/>
    <w:rsid w:val="35B244CD"/>
    <w:rsid w:val="35E57720"/>
    <w:rsid w:val="36666DD4"/>
    <w:rsid w:val="36683435"/>
    <w:rsid w:val="366D487D"/>
    <w:rsid w:val="36CF2DC3"/>
    <w:rsid w:val="36DA06FD"/>
    <w:rsid w:val="37183F0F"/>
    <w:rsid w:val="374B51BB"/>
    <w:rsid w:val="379E6450"/>
    <w:rsid w:val="37D52119"/>
    <w:rsid w:val="38144E74"/>
    <w:rsid w:val="388303A3"/>
    <w:rsid w:val="3895212F"/>
    <w:rsid w:val="38AC3CAE"/>
    <w:rsid w:val="39251D05"/>
    <w:rsid w:val="39275D77"/>
    <w:rsid w:val="39567206"/>
    <w:rsid w:val="39D25CF1"/>
    <w:rsid w:val="3A3D70A5"/>
    <w:rsid w:val="3A4828A8"/>
    <w:rsid w:val="3A5B3B7F"/>
    <w:rsid w:val="3A8F5A55"/>
    <w:rsid w:val="3AD47CF2"/>
    <w:rsid w:val="3AE52CB1"/>
    <w:rsid w:val="3B5937DA"/>
    <w:rsid w:val="3B5D1516"/>
    <w:rsid w:val="3B643D2C"/>
    <w:rsid w:val="3B8516D7"/>
    <w:rsid w:val="3B9010C6"/>
    <w:rsid w:val="3BDD37FE"/>
    <w:rsid w:val="3BF11FE7"/>
    <w:rsid w:val="3C1043BA"/>
    <w:rsid w:val="3C3B238F"/>
    <w:rsid w:val="3C72761B"/>
    <w:rsid w:val="3C7E4504"/>
    <w:rsid w:val="3C9F72D5"/>
    <w:rsid w:val="3CE92ACD"/>
    <w:rsid w:val="3D03154F"/>
    <w:rsid w:val="3D566EC4"/>
    <w:rsid w:val="3DBC560E"/>
    <w:rsid w:val="3DED69FA"/>
    <w:rsid w:val="3DFB257E"/>
    <w:rsid w:val="3E8B071C"/>
    <w:rsid w:val="3EA62D5F"/>
    <w:rsid w:val="3F2A5A1C"/>
    <w:rsid w:val="3F2C4512"/>
    <w:rsid w:val="3F51437F"/>
    <w:rsid w:val="3F5D1DAF"/>
    <w:rsid w:val="3FF302C5"/>
    <w:rsid w:val="400A4D08"/>
    <w:rsid w:val="4018179A"/>
    <w:rsid w:val="40972A7E"/>
    <w:rsid w:val="40A609BA"/>
    <w:rsid w:val="40BA4B7E"/>
    <w:rsid w:val="40BB3C1D"/>
    <w:rsid w:val="40C854ED"/>
    <w:rsid w:val="41081C63"/>
    <w:rsid w:val="41CC74C6"/>
    <w:rsid w:val="41D562DD"/>
    <w:rsid w:val="41DC6DCB"/>
    <w:rsid w:val="41E856FB"/>
    <w:rsid w:val="421F0D27"/>
    <w:rsid w:val="42413C80"/>
    <w:rsid w:val="42610E27"/>
    <w:rsid w:val="42A5478D"/>
    <w:rsid w:val="431631E9"/>
    <w:rsid w:val="436C110D"/>
    <w:rsid w:val="43B43DE0"/>
    <w:rsid w:val="43D13C70"/>
    <w:rsid w:val="43E73EDC"/>
    <w:rsid w:val="43F676E8"/>
    <w:rsid w:val="441B408F"/>
    <w:rsid w:val="443C113F"/>
    <w:rsid w:val="44586582"/>
    <w:rsid w:val="4469669F"/>
    <w:rsid w:val="447E3029"/>
    <w:rsid w:val="44AB0A29"/>
    <w:rsid w:val="450A4301"/>
    <w:rsid w:val="452C5239"/>
    <w:rsid w:val="455E0505"/>
    <w:rsid w:val="45603C95"/>
    <w:rsid w:val="45796DB6"/>
    <w:rsid w:val="45C00B43"/>
    <w:rsid w:val="45CA1958"/>
    <w:rsid w:val="45FB5A1D"/>
    <w:rsid w:val="460365C3"/>
    <w:rsid w:val="46203BDA"/>
    <w:rsid w:val="468D03B8"/>
    <w:rsid w:val="46A36D28"/>
    <w:rsid w:val="46CC2F37"/>
    <w:rsid w:val="46F410E6"/>
    <w:rsid w:val="46FE1B02"/>
    <w:rsid w:val="46FE22AC"/>
    <w:rsid w:val="470B42FA"/>
    <w:rsid w:val="474D5A50"/>
    <w:rsid w:val="474D76A5"/>
    <w:rsid w:val="47810D54"/>
    <w:rsid w:val="47FF076A"/>
    <w:rsid w:val="483D40CA"/>
    <w:rsid w:val="48AD552D"/>
    <w:rsid w:val="48EB383A"/>
    <w:rsid w:val="4989766D"/>
    <w:rsid w:val="49A96267"/>
    <w:rsid w:val="49AA7AF8"/>
    <w:rsid w:val="49E876C2"/>
    <w:rsid w:val="4A3A4BF5"/>
    <w:rsid w:val="4A411099"/>
    <w:rsid w:val="4A5172C2"/>
    <w:rsid w:val="4A7D2382"/>
    <w:rsid w:val="4ABF205E"/>
    <w:rsid w:val="4AFB4DA7"/>
    <w:rsid w:val="4B135E41"/>
    <w:rsid w:val="4B3D0885"/>
    <w:rsid w:val="4B740DF4"/>
    <w:rsid w:val="4BB07F1C"/>
    <w:rsid w:val="4BF14340"/>
    <w:rsid w:val="4BF54022"/>
    <w:rsid w:val="4C2A62B0"/>
    <w:rsid w:val="4C50438B"/>
    <w:rsid w:val="4C504603"/>
    <w:rsid w:val="4C687D6F"/>
    <w:rsid w:val="4C8C07E6"/>
    <w:rsid w:val="4CCC3D16"/>
    <w:rsid w:val="4CD72E6E"/>
    <w:rsid w:val="4CDB6D5F"/>
    <w:rsid w:val="4CF37687"/>
    <w:rsid w:val="4CF80F53"/>
    <w:rsid w:val="4D1A26E3"/>
    <w:rsid w:val="4D34119F"/>
    <w:rsid w:val="4D3742BF"/>
    <w:rsid w:val="4D6A44E4"/>
    <w:rsid w:val="4D91204F"/>
    <w:rsid w:val="4DA3005F"/>
    <w:rsid w:val="4DAF797A"/>
    <w:rsid w:val="4E124D26"/>
    <w:rsid w:val="4E576E8D"/>
    <w:rsid w:val="4E5C54C6"/>
    <w:rsid w:val="4EB94C66"/>
    <w:rsid w:val="4ECF2240"/>
    <w:rsid w:val="4EE07EA5"/>
    <w:rsid w:val="4F1B4E8F"/>
    <w:rsid w:val="4F2E29BF"/>
    <w:rsid w:val="4F4605CD"/>
    <w:rsid w:val="4FD33566"/>
    <w:rsid w:val="5018444C"/>
    <w:rsid w:val="50487CBC"/>
    <w:rsid w:val="50745489"/>
    <w:rsid w:val="50F10D48"/>
    <w:rsid w:val="511F5CA8"/>
    <w:rsid w:val="512C34CB"/>
    <w:rsid w:val="51466BE4"/>
    <w:rsid w:val="51832827"/>
    <w:rsid w:val="51832F55"/>
    <w:rsid w:val="5196484B"/>
    <w:rsid w:val="51B03C74"/>
    <w:rsid w:val="51C25893"/>
    <w:rsid w:val="51CA3C45"/>
    <w:rsid w:val="51D77D52"/>
    <w:rsid w:val="52252761"/>
    <w:rsid w:val="522B7A00"/>
    <w:rsid w:val="523D116B"/>
    <w:rsid w:val="52990E7A"/>
    <w:rsid w:val="52C12271"/>
    <w:rsid w:val="52EB4EB8"/>
    <w:rsid w:val="53340589"/>
    <w:rsid w:val="535833FB"/>
    <w:rsid w:val="54221FFD"/>
    <w:rsid w:val="546339EC"/>
    <w:rsid w:val="54AA66E4"/>
    <w:rsid w:val="54C85A58"/>
    <w:rsid w:val="54E35F03"/>
    <w:rsid w:val="54EF3682"/>
    <w:rsid w:val="54FB00BE"/>
    <w:rsid w:val="551D27AE"/>
    <w:rsid w:val="55481803"/>
    <w:rsid w:val="554B4291"/>
    <w:rsid w:val="55874D63"/>
    <w:rsid w:val="558875CA"/>
    <w:rsid w:val="55C13D96"/>
    <w:rsid w:val="55D21A78"/>
    <w:rsid w:val="562801B3"/>
    <w:rsid w:val="56366AA6"/>
    <w:rsid w:val="5659148E"/>
    <w:rsid w:val="56635F38"/>
    <w:rsid w:val="56A67B4E"/>
    <w:rsid w:val="56BA6F7D"/>
    <w:rsid w:val="56F97D56"/>
    <w:rsid w:val="573A24CF"/>
    <w:rsid w:val="57462350"/>
    <w:rsid w:val="575833C1"/>
    <w:rsid w:val="577C38D0"/>
    <w:rsid w:val="578A202A"/>
    <w:rsid w:val="584D560A"/>
    <w:rsid w:val="5868797B"/>
    <w:rsid w:val="58736CA1"/>
    <w:rsid w:val="587568C3"/>
    <w:rsid w:val="587F2477"/>
    <w:rsid w:val="5928048B"/>
    <w:rsid w:val="592D3CE7"/>
    <w:rsid w:val="59307A44"/>
    <w:rsid w:val="597F5452"/>
    <w:rsid w:val="598B6C60"/>
    <w:rsid w:val="59BB796F"/>
    <w:rsid w:val="5A067137"/>
    <w:rsid w:val="5A601E9A"/>
    <w:rsid w:val="5A740953"/>
    <w:rsid w:val="5A7B7E65"/>
    <w:rsid w:val="5A7F2611"/>
    <w:rsid w:val="5A8D4A32"/>
    <w:rsid w:val="5AB33A4F"/>
    <w:rsid w:val="5B033E4E"/>
    <w:rsid w:val="5B152C85"/>
    <w:rsid w:val="5B6D1CB9"/>
    <w:rsid w:val="5BAA3BEE"/>
    <w:rsid w:val="5C0D3C8E"/>
    <w:rsid w:val="5C1B5AAF"/>
    <w:rsid w:val="5C245875"/>
    <w:rsid w:val="5CC760E0"/>
    <w:rsid w:val="5CC929E5"/>
    <w:rsid w:val="5CE16759"/>
    <w:rsid w:val="5D183F9D"/>
    <w:rsid w:val="5D4F6D78"/>
    <w:rsid w:val="5D591A94"/>
    <w:rsid w:val="5DD61428"/>
    <w:rsid w:val="5E1B0997"/>
    <w:rsid w:val="5E1C5854"/>
    <w:rsid w:val="5E3A5A7F"/>
    <w:rsid w:val="5E7423B8"/>
    <w:rsid w:val="5EAD748A"/>
    <w:rsid w:val="5EB81046"/>
    <w:rsid w:val="5EF22AA6"/>
    <w:rsid w:val="5EF55A13"/>
    <w:rsid w:val="5F122BCF"/>
    <w:rsid w:val="5F213DFC"/>
    <w:rsid w:val="5F5A3D3E"/>
    <w:rsid w:val="5F5E130B"/>
    <w:rsid w:val="5FA8056B"/>
    <w:rsid w:val="5FAF305E"/>
    <w:rsid w:val="5FCF3D4A"/>
    <w:rsid w:val="5FD7253A"/>
    <w:rsid w:val="5FD841ED"/>
    <w:rsid w:val="602B4417"/>
    <w:rsid w:val="606320AB"/>
    <w:rsid w:val="609D5BBA"/>
    <w:rsid w:val="60AF1364"/>
    <w:rsid w:val="60DF6CFD"/>
    <w:rsid w:val="60FB5A49"/>
    <w:rsid w:val="612A75F8"/>
    <w:rsid w:val="618515D7"/>
    <w:rsid w:val="62091513"/>
    <w:rsid w:val="622C4A2B"/>
    <w:rsid w:val="623F6E07"/>
    <w:rsid w:val="626C37A6"/>
    <w:rsid w:val="62994EC3"/>
    <w:rsid w:val="62A728E8"/>
    <w:rsid w:val="631F190C"/>
    <w:rsid w:val="63583067"/>
    <w:rsid w:val="63864064"/>
    <w:rsid w:val="640B731B"/>
    <w:rsid w:val="64201A9B"/>
    <w:rsid w:val="645520CE"/>
    <w:rsid w:val="647516B5"/>
    <w:rsid w:val="649D7D89"/>
    <w:rsid w:val="64D55361"/>
    <w:rsid w:val="64D66509"/>
    <w:rsid w:val="64F54092"/>
    <w:rsid w:val="64F840AF"/>
    <w:rsid w:val="64FC127C"/>
    <w:rsid w:val="65D57BE0"/>
    <w:rsid w:val="65DF11E9"/>
    <w:rsid w:val="65EB2C93"/>
    <w:rsid w:val="66067D9A"/>
    <w:rsid w:val="66643E80"/>
    <w:rsid w:val="666B7270"/>
    <w:rsid w:val="66772A46"/>
    <w:rsid w:val="66A80942"/>
    <w:rsid w:val="67383D9A"/>
    <w:rsid w:val="674E3EF9"/>
    <w:rsid w:val="67545239"/>
    <w:rsid w:val="675D2D0F"/>
    <w:rsid w:val="67784CC7"/>
    <w:rsid w:val="67D87379"/>
    <w:rsid w:val="67E91721"/>
    <w:rsid w:val="67F70B70"/>
    <w:rsid w:val="685123A1"/>
    <w:rsid w:val="68EA3BB4"/>
    <w:rsid w:val="68F378B8"/>
    <w:rsid w:val="69220EFA"/>
    <w:rsid w:val="6940489F"/>
    <w:rsid w:val="69A126FE"/>
    <w:rsid w:val="6A756F7D"/>
    <w:rsid w:val="6AAD7056"/>
    <w:rsid w:val="6ABA2DCA"/>
    <w:rsid w:val="6ABB7624"/>
    <w:rsid w:val="6B0A1B87"/>
    <w:rsid w:val="6B1D638A"/>
    <w:rsid w:val="6B3C25D5"/>
    <w:rsid w:val="6B5177CD"/>
    <w:rsid w:val="6B640A7F"/>
    <w:rsid w:val="6B644703"/>
    <w:rsid w:val="6B7C465A"/>
    <w:rsid w:val="6BE54E4B"/>
    <w:rsid w:val="6CC36A8B"/>
    <w:rsid w:val="6CD8432B"/>
    <w:rsid w:val="6D056108"/>
    <w:rsid w:val="6D0B3303"/>
    <w:rsid w:val="6D10581A"/>
    <w:rsid w:val="6D1508D8"/>
    <w:rsid w:val="6D2B0835"/>
    <w:rsid w:val="6DC87746"/>
    <w:rsid w:val="6DFA30A9"/>
    <w:rsid w:val="6E3B1ADD"/>
    <w:rsid w:val="6E411DD3"/>
    <w:rsid w:val="6E693BB6"/>
    <w:rsid w:val="6E8B6543"/>
    <w:rsid w:val="6EB62D51"/>
    <w:rsid w:val="6EC54025"/>
    <w:rsid w:val="6F7432CA"/>
    <w:rsid w:val="6F896638"/>
    <w:rsid w:val="70046980"/>
    <w:rsid w:val="704D60AD"/>
    <w:rsid w:val="707810C4"/>
    <w:rsid w:val="70875F7B"/>
    <w:rsid w:val="70DE3469"/>
    <w:rsid w:val="712B2DAA"/>
    <w:rsid w:val="719A05A8"/>
    <w:rsid w:val="71A2067A"/>
    <w:rsid w:val="71C372AA"/>
    <w:rsid w:val="722F4B11"/>
    <w:rsid w:val="7239207C"/>
    <w:rsid w:val="72395AB0"/>
    <w:rsid w:val="724374B3"/>
    <w:rsid w:val="72501421"/>
    <w:rsid w:val="726C3DB6"/>
    <w:rsid w:val="72976FB9"/>
    <w:rsid w:val="729E2959"/>
    <w:rsid w:val="72A4159B"/>
    <w:rsid w:val="72BF02A1"/>
    <w:rsid w:val="72E01FBE"/>
    <w:rsid w:val="72F01BB6"/>
    <w:rsid w:val="730903A6"/>
    <w:rsid w:val="730B33E1"/>
    <w:rsid w:val="732C21BE"/>
    <w:rsid w:val="735020FA"/>
    <w:rsid w:val="73864016"/>
    <w:rsid w:val="738A79AB"/>
    <w:rsid w:val="73BF6A4B"/>
    <w:rsid w:val="73C043FC"/>
    <w:rsid w:val="73E81024"/>
    <w:rsid w:val="740266F3"/>
    <w:rsid w:val="74250908"/>
    <w:rsid w:val="7452322B"/>
    <w:rsid w:val="74962020"/>
    <w:rsid w:val="75061D81"/>
    <w:rsid w:val="75447B82"/>
    <w:rsid w:val="755842D8"/>
    <w:rsid w:val="75605C40"/>
    <w:rsid w:val="758E18CB"/>
    <w:rsid w:val="75B570E6"/>
    <w:rsid w:val="75D73501"/>
    <w:rsid w:val="76086B15"/>
    <w:rsid w:val="76454FEF"/>
    <w:rsid w:val="764C62A0"/>
    <w:rsid w:val="775A7492"/>
    <w:rsid w:val="776A0E44"/>
    <w:rsid w:val="778D1AF5"/>
    <w:rsid w:val="77CD0717"/>
    <w:rsid w:val="77DC6BEF"/>
    <w:rsid w:val="77E47B83"/>
    <w:rsid w:val="78017743"/>
    <w:rsid w:val="78032F0D"/>
    <w:rsid w:val="78521803"/>
    <w:rsid w:val="78AE6AC8"/>
    <w:rsid w:val="78CC4380"/>
    <w:rsid w:val="7920141F"/>
    <w:rsid w:val="79245B81"/>
    <w:rsid w:val="793A5E9B"/>
    <w:rsid w:val="79457F70"/>
    <w:rsid w:val="79780505"/>
    <w:rsid w:val="798B303F"/>
    <w:rsid w:val="79A51815"/>
    <w:rsid w:val="79DB3E14"/>
    <w:rsid w:val="7A0705E7"/>
    <w:rsid w:val="7A2465E9"/>
    <w:rsid w:val="7A4D22C6"/>
    <w:rsid w:val="7AB76382"/>
    <w:rsid w:val="7ADD09FF"/>
    <w:rsid w:val="7ADD1FB2"/>
    <w:rsid w:val="7B01579D"/>
    <w:rsid w:val="7B13197A"/>
    <w:rsid w:val="7B6E09DC"/>
    <w:rsid w:val="7BA35E64"/>
    <w:rsid w:val="7BA71FEA"/>
    <w:rsid w:val="7C0D0C4F"/>
    <w:rsid w:val="7C887862"/>
    <w:rsid w:val="7CD97B5E"/>
    <w:rsid w:val="7D364B5D"/>
    <w:rsid w:val="7D724D60"/>
    <w:rsid w:val="7D902913"/>
    <w:rsid w:val="7E090454"/>
    <w:rsid w:val="7EE57A52"/>
    <w:rsid w:val="7EF615A3"/>
    <w:rsid w:val="7EFB624D"/>
    <w:rsid w:val="7F297C5C"/>
    <w:rsid w:val="7F3D0A43"/>
    <w:rsid w:val="7F3F2ABD"/>
    <w:rsid w:val="7F492A49"/>
    <w:rsid w:val="7F8C3A6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32"/>
      <w:szCs w:val="20"/>
    </w:rPr>
  </w:style>
  <w:style w:type="paragraph" w:styleId="5">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uppressAutoHyphens/>
      <w:spacing w:after="120"/>
    </w:pPr>
    <w:rPr>
      <w:kern w:val="1"/>
      <w:szCs w:val="20"/>
      <w:lang w:eastAsia="ar-SA"/>
    </w:rPr>
  </w:style>
  <w:style w:type="paragraph" w:customStyle="1" w:styleId="3">
    <w:name w:val="Quote"/>
    <w:basedOn w:val="1"/>
    <w:next w:val="1"/>
    <w:qFormat/>
    <w:uiPriority w:val="0"/>
    <w:pPr>
      <w:wordWrap w:val="0"/>
      <w:spacing w:before="200" w:after="160"/>
      <w:ind w:left="864" w:right="864"/>
      <w:jc w:val="center"/>
    </w:pPr>
    <w:rPr>
      <w:i/>
    </w:rPr>
  </w:style>
  <w:style w:type="paragraph" w:styleId="7">
    <w:name w:val="Body Text 3"/>
    <w:basedOn w:val="1"/>
    <w:qFormat/>
    <w:uiPriority w:val="0"/>
    <w:pPr>
      <w:spacing w:after="120"/>
    </w:pPr>
    <w:rPr>
      <w:sz w:val="16"/>
      <w:szCs w:val="16"/>
    </w:rPr>
  </w:style>
  <w:style w:type="paragraph" w:styleId="8">
    <w:name w:val="Body Text Indent"/>
    <w:basedOn w:val="1"/>
    <w:next w:val="1"/>
    <w:qFormat/>
    <w:uiPriority w:val="0"/>
    <w:pPr>
      <w:spacing w:after="120"/>
      <w:ind w:left="420" w:leftChars="200"/>
    </w:pPr>
  </w:style>
  <w:style w:type="paragraph" w:styleId="9">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qFormat/>
    <w:uiPriority w:val="0"/>
    <w:pPr>
      <w:spacing w:before="240" w:after="60"/>
      <w:jc w:val="center"/>
      <w:outlineLvl w:val="0"/>
    </w:pPr>
    <w:rPr>
      <w:rFonts w:ascii="Calibri Light" w:hAnsi="Calibri Light"/>
      <w:b/>
      <w:bCs/>
      <w:sz w:val="32"/>
      <w:szCs w:val="32"/>
    </w:rPr>
  </w:style>
  <w:style w:type="paragraph" w:styleId="15">
    <w:name w:val="Body Text First Indent 2"/>
    <w:basedOn w:val="8"/>
    <w:qFormat/>
    <w:uiPriority w:val="0"/>
    <w:pPr>
      <w:ind w:firstLine="200" w:firstLineChars="200"/>
    </w:p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basedOn w:val="20"/>
    <w:qFormat/>
    <w:uiPriority w:val="0"/>
  </w:style>
  <w:style w:type="character" w:customStyle="1" w:styleId="20">
    <w:name w:val="默认段落字体1"/>
    <w:qFormat/>
    <w:uiPriority w:val="0"/>
  </w:style>
  <w:style w:type="character" w:styleId="21">
    <w:name w:val="Hyperlink"/>
    <w:basedOn w:val="18"/>
    <w:qFormat/>
    <w:uiPriority w:val="0"/>
    <w:rPr>
      <w:color w:val="0000FF"/>
      <w:u w:val="single"/>
    </w:rPr>
  </w:style>
  <w:style w:type="paragraph" w:customStyle="1" w:styleId="22">
    <w:name w:val="标题 5（有编号）（绿盟科技）"/>
    <w:basedOn w:val="1"/>
    <w:next w:val="23"/>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4">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5">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7">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8">
    <w:name w:val="Table Paragraph"/>
    <w:basedOn w:val="1"/>
    <w:qFormat/>
    <w:uiPriority w:val="1"/>
  </w:style>
  <w:style w:type="paragraph" w:styleId="29">
    <w:name w:val="List Paragraph"/>
    <w:basedOn w:val="1"/>
    <w:qFormat/>
    <w:uiPriority w:val="1"/>
    <w:pPr>
      <w:ind w:left="110" w:firstLine="480"/>
    </w:pPr>
  </w:style>
  <w:style w:type="paragraph" w:customStyle="1" w:styleId="30">
    <w:name w:val="msolistparagraph"/>
    <w:basedOn w:val="1"/>
    <w:qFormat/>
    <w:uiPriority w:val="0"/>
    <w:pPr>
      <w:overflowPunct w:val="0"/>
      <w:autoSpaceDE w:val="0"/>
      <w:autoSpaceDN w:val="0"/>
      <w:ind w:firstLine="420" w:firstLineChars="200"/>
    </w:pPr>
  </w:style>
  <w:style w:type="paragraph" w:customStyle="1" w:styleId="31">
    <w:name w:val="列出段落1"/>
    <w:basedOn w:val="1"/>
    <w:qFormat/>
    <w:uiPriority w:val="34"/>
    <w:pPr>
      <w:ind w:firstLine="420" w:firstLineChars="200"/>
    </w:pPr>
  </w:style>
  <w:style w:type="paragraph" w:customStyle="1" w:styleId="32">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3">
    <w:name w:val="font151"/>
    <w:basedOn w:val="18"/>
    <w:qFormat/>
    <w:uiPriority w:val="0"/>
    <w:rPr>
      <w:rFonts w:hint="eastAsia" w:ascii="宋体" w:hAnsi="宋体" w:eastAsia="宋体" w:cs="宋体"/>
      <w:color w:val="000000"/>
      <w:sz w:val="16"/>
      <w:szCs w:val="16"/>
      <w:u w:val="single"/>
    </w:rPr>
  </w:style>
  <w:style w:type="character" w:customStyle="1" w:styleId="34">
    <w:name w:val="font01"/>
    <w:basedOn w:val="18"/>
    <w:qFormat/>
    <w:uiPriority w:val="0"/>
    <w:rPr>
      <w:rFonts w:hint="eastAsia" w:ascii="宋体" w:hAnsi="宋体" w:eastAsia="宋体" w:cs="宋体"/>
      <w:color w:val="000000"/>
      <w:sz w:val="16"/>
      <w:szCs w:val="16"/>
      <w:u w:val="none"/>
    </w:rPr>
  </w:style>
  <w:style w:type="character" w:customStyle="1" w:styleId="35">
    <w:name w:val="font41"/>
    <w:basedOn w:val="18"/>
    <w:qFormat/>
    <w:uiPriority w:val="0"/>
    <w:rPr>
      <w:rFonts w:hint="default" w:ascii="Calibri" w:hAnsi="Calibri" w:cs="Calibri"/>
      <w:color w:val="000000"/>
      <w:sz w:val="16"/>
      <w:szCs w:val="16"/>
      <w:u w:val="none"/>
    </w:rPr>
  </w:style>
  <w:style w:type="character" w:customStyle="1" w:styleId="36">
    <w:name w:val="font81"/>
    <w:basedOn w:val="18"/>
    <w:qFormat/>
    <w:uiPriority w:val="0"/>
    <w:rPr>
      <w:rFonts w:hint="default" w:ascii="Calibri" w:hAnsi="Calibri" w:cs="Calibri"/>
      <w:color w:val="000000"/>
      <w:sz w:val="16"/>
      <w:szCs w:val="16"/>
      <w:u w:val="none"/>
    </w:rPr>
  </w:style>
  <w:style w:type="character" w:customStyle="1" w:styleId="37">
    <w:name w:val="font51"/>
    <w:basedOn w:val="18"/>
    <w:qFormat/>
    <w:uiPriority w:val="0"/>
    <w:rPr>
      <w:rFonts w:hint="eastAsia" w:ascii="宋体" w:hAnsi="宋体" w:eastAsia="宋体" w:cs="宋体"/>
      <w:color w:val="000000"/>
      <w:sz w:val="16"/>
      <w:szCs w:val="16"/>
      <w:u w:val="none"/>
    </w:rPr>
  </w:style>
  <w:style w:type="character" w:customStyle="1" w:styleId="38">
    <w:name w:val="font171"/>
    <w:basedOn w:val="18"/>
    <w:qFormat/>
    <w:uiPriority w:val="0"/>
    <w:rPr>
      <w:rFonts w:hint="eastAsia" w:ascii="宋体" w:hAnsi="宋体" w:eastAsia="宋体" w:cs="宋体"/>
      <w:color w:val="000000"/>
      <w:sz w:val="16"/>
      <w:szCs w:val="16"/>
      <w:u w:val="single"/>
    </w:rPr>
  </w:style>
  <w:style w:type="character" w:customStyle="1" w:styleId="39">
    <w:name w:val="font111"/>
    <w:basedOn w:val="18"/>
    <w:qFormat/>
    <w:uiPriority w:val="0"/>
    <w:rPr>
      <w:rFonts w:hint="eastAsia" w:ascii="宋体" w:hAnsi="宋体" w:eastAsia="宋体" w:cs="宋体"/>
      <w:color w:val="FF0000"/>
      <w:sz w:val="16"/>
      <w:szCs w:val="16"/>
      <w:u w:val="none"/>
    </w:rPr>
  </w:style>
  <w:style w:type="character" w:customStyle="1" w:styleId="40">
    <w:name w:val="font101"/>
    <w:basedOn w:val="18"/>
    <w:qFormat/>
    <w:uiPriority w:val="0"/>
    <w:rPr>
      <w:rFonts w:hint="default" w:ascii="Arial" w:hAnsi="Arial" w:cs="Arial"/>
      <w:color w:val="FF0000"/>
      <w:sz w:val="16"/>
      <w:szCs w:val="16"/>
      <w:u w:val="none"/>
    </w:rPr>
  </w:style>
  <w:style w:type="character" w:customStyle="1" w:styleId="41">
    <w:name w:val="font91"/>
    <w:basedOn w:val="18"/>
    <w:qFormat/>
    <w:uiPriority w:val="0"/>
    <w:rPr>
      <w:rFonts w:hint="default" w:ascii="等线" w:hAnsi="等线" w:eastAsia="等线" w:cs="等线"/>
      <w:color w:val="000000"/>
      <w:sz w:val="16"/>
      <w:szCs w:val="16"/>
      <w:u w:val="single"/>
    </w:rPr>
  </w:style>
  <w:style w:type="character" w:customStyle="1" w:styleId="42">
    <w:name w:val="font131"/>
    <w:basedOn w:val="18"/>
    <w:qFormat/>
    <w:uiPriority w:val="0"/>
    <w:rPr>
      <w:rFonts w:hint="default" w:ascii="等线" w:hAnsi="等线" w:eastAsia="等线" w:cs="等线"/>
      <w:color w:val="000000"/>
      <w:sz w:val="16"/>
      <w:szCs w:val="16"/>
      <w:u w:val="none"/>
    </w:rPr>
  </w:style>
  <w:style w:type="character" w:customStyle="1" w:styleId="43">
    <w:name w:val="font181"/>
    <w:basedOn w:val="18"/>
    <w:qFormat/>
    <w:uiPriority w:val="0"/>
    <w:rPr>
      <w:rFonts w:hint="default" w:ascii="等线" w:hAnsi="等线" w:eastAsia="等线" w:cs="等线"/>
      <w:b/>
      <w:bCs/>
      <w:color w:val="000000"/>
      <w:sz w:val="16"/>
      <w:szCs w:val="16"/>
      <w:u w:val="none"/>
    </w:rPr>
  </w:style>
  <w:style w:type="character" w:customStyle="1" w:styleId="44">
    <w:name w:val="font161"/>
    <w:basedOn w:val="18"/>
    <w:qFormat/>
    <w:uiPriority w:val="0"/>
    <w:rPr>
      <w:rFonts w:hint="default" w:ascii="等线" w:hAnsi="等线" w:eastAsia="等线" w:cs="等线"/>
      <w:color w:val="000000"/>
      <w:sz w:val="16"/>
      <w:szCs w:val="16"/>
      <w:u w:val="none"/>
    </w:rPr>
  </w:style>
  <w:style w:type="character" w:customStyle="1" w:styleId="45">
    <w:name w:val="font31"/>
    <w:basedOn w:val="18"/>
    <w:qFormat/>
    <w:uiPriority w:val="0"/>
    <w:rPr>
      <w:rFonts w:hint="eastAsia" w:ascii="宋体" w:hAnsi="宋体" w:eastAsia="宋体" w:cs="宋体"/>
      <w:color w:val="000000"/>
      <w:sz w:val="16"/>
      <w:szCs w:val="16"/>
      <w:u w:val="none"/>
    </w:rPr>
  </w:style>
  <w:style w:type="character" w:customStyle="1" w:styleId="46">
    <w:name w:val="font21"/>
    <w:basedOn w:val="18"/>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2196</Words>
  <Characters>2594</Characters>
  <Lines>24</Lines>
  <Paragraphs>6</Paragraphs>
  <TotalTime>44</TotalTime>
  <ScaleCrop>false</ScaleCrop>
  <LinksUpToDate>false</LinksUpToDate>
  <CharactersWithSpaces>2927</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Administrator</cp:lastModifiedBy>
  <cp:lastPrinted>2021-09-18T02:55:00Z</cp:lastPrinted>
  <dcterms:modified xsi:type="dcterms:W3CDTF">2024-05-10T01:26:27Z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D23C53A1663E4D8585AE9FB8F66E554C</vt:lpwstr>
  </property>
</Properties>
</file>