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雅安市大兴片区地下综合管廊建设项目道路专业分包栏杆采购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val="0"/>
                <w:bCs/>
                <w:color w:val="FF0000"/>
                <w:szCs w:val="21"/>
                <w:lang w:val="en-US" w:eastAsia="zh-CN"/>
              </w:rPr>
              <w:t>雅安市大兴片区地下综合管廊建设项目道路专业分包栏杆采购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雅安市市政建设工程有限公司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祝亿</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18086994339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雅安市大兴片区地下综合管廊建设项目（道路专业分包）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000000"/>
                <w:szCs w:val="21"/>
                <w:lang w:val="en-US"/>
              </w:rPr>
            </w:pPr>
            <w:r>
              <w:rPr>
                <w:rFonts w:hint="eastAsia" w:ascii="宋体" w:hAnsi="宋体"/>
                <w:b w:val="0"/>
                <w:bCs/>
                <w:color w:val="FF0000"/>
                <w:szCs w:val="21"/>
                <w:lang w:val="en-US" w:eastAsia="zh-CN"/>
              </w:rPr>
              <w:t>栏杆采购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lang w:val="en-US" w:eastAsia="zh-CN"/>
              </w:rPr>
            </w:pPr>
            <w:r>
              <w:rPr>
                <w:rFonts w:hint="eastAsia" w:ascii="宋体" w:hAnsi="宋体"/>
                <w:b w:val="0"/>
                <w:bCs/>
                <w:color w:val="auto"/>
                <w:szCs w:val="21"/>
                <w:lang w:val="en-US" w:eastAsia="zh-CN"/>
              </w:rPr>
              <w:t>以采购人通知时间为准。</w:t>
            </w:r>
          </w:p>
          <w:p>
            <w:pPr>
              <w:pStyle w:val="2"/>
              <w:numPr>
                <w:ilvl w:val="0"/>
                <w:numId w:val="1"/>
              </w:numPr>
              <w:rPr>
                <w:rFonts w:hint="default"/>
                <w:lang w:val="en-US" w:eastAsia="zh-CN"/>
              </w:rPr>
            </w:pPr>
            <w:r>
              <w:rPr>
                <w:rFonts w:hint="eastAsia"/>
                <w:lang w:val="en-US" w:eastAsia="zh-CN"/>
              </w:rPr>
              <w:t>质量要求：按图施工</w:t>
            </w:r>
            <w:r>
              <w:rPr>
                <w:rFonts w:hint="eastAsia" w:ascii="Times New Roman" w:hAnsi="Times New Roman" w:cs="Times New Roman"/>
                <w:lang w:val="en-US" w:eastAsia="zh-CN"/>
              </w:rPr>
              <w:t>（质量达到现行国家有关工程施工验收规范和标准的要求合格标准）。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b w:val="0"/>
                <w:bCs w:val="0"/>
                <w:color w:val="FF0000"/>
                <w:lang w:val="en-US" w:eastAsia="zh-CN"/>
              </w:rPr>
              <w:t>持有经工商行政管理部门登记注册的合法有效营业执照，并具有完成本次采购的供货或服务能力。</w:t>
            </w:r>
          </w:p>
          <w:p>
            <w:pPr>
              <w:spacing w:line="500" w:lineRule="exact"/>
              <w:jc w:val="left"/>
              <w:rPr>
                <w:rFonts w:hint="default"/>
                <w:lang w:val="en-US" w:eastAsia="zh-CN"/>
              </w:rPr>
            </w:pPr>
            <w:r>
              <w:rPr>
                <w:rFonts w:hint="eastAsia"/>
                <w:lang w:val="en-US" w:eastAsia="zh-CN"/>
              </w:rPr>
              <w:t>（二）资格要求</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5</w:t>
            </w:r>
            <w:r>
              <w:rPr>
                <w:rFonts w:hint="eastAsia" w:ascii="宋体" w:hAnsi="宋体"/>
                <w:b/>
                <w:bCs w:val="0"/>
                <w:color w:val="000000"/>
                <w:szCs w:val="21"/>
              </w:rPr>
              <w:t>月</w:t>
            </w:r>
            <w:r>
              <w:rPr>
                <w:rFonts w:hint="eastAsia" w:ascii="宋体" w:hAnsi="宋体"/>
                <w:b/>
                <w:bCs w:val="0"/>
                <w:color w:val="000000"/>
                <w:szCs w:val="21"/>
                <w:lang w:val="en-US" w:eastAsia="zh-CN"/>
              </w:rPr>
              <w:t>16</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5</w:t>
            </w:r>
            <w:r>
              <w:rPr>
                <w:rFonts w:hint="eastAsia" w:ascii="宋体" w:hAnsi="宋体"/>
                <w:b/>
                <w:bCs w:val="0"/>
                <w:color w:val="000000"/>
                <w:szCs w:val="21"/>
              </w:rPr>
              <w:t>月</w:t>
            </w:r>
            <w:r>
              <w:rPr>
                <w:rFonts w:hint="eastAsia" w:ascii="宋体" w:hAnsi="宋体"/>
                <w:b/>
                <w:bCs w:val="0"/>
                <w:color w:val="000000"/>
                <w:szCs w:val="21"/>
                <w:lang w:val="en-US" w:eastAsia="zh-CN"/>
              </w:rPr>
              <w:t>18</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rPr>
              <w:t>1.</w:t>
            </w:r>
            <w:r>
              <w:rPr>
                <w:rFonts w:hint="eastAsia" w:ascii="宋体" w:hAnsi="宋体" w:eastAsia="宋体" w:cs="宋体"/>
                <w:b/>
                <w:bCs/>
                <w:color w:val="000000"/>
                <w:sz w:val="21"/>
                <w:szCs w:val="21"/>
              </w:rPr>
              <w:t>最高限价（</w:t>
            </w:r>
            <w:r>
              <w:rPr>
                <w:rFonts w:hint="eastAsia" w:ascii="宋体" w:hAnsi="宋体" w:cs="宋体"/>
                <w:b/>
                <w:bCs/>
                <w:color w:val="FF0000"/>
                <w:sz w:val="21"/>
                <w:szCs w:val="21"/>
                <w:lang w:val="en-US" w:eastAsia="zh-CN"/>
              </w:rPr>
              <w:t>含税</w:t>
            </w:r>
            <w:r>
              <w:rPr>
                <w:rFonts w:hint="eastAsia" w:ascii="宋体" w:hAnsi="宋体" w:eastAsia="宋体" w:cs="宋体"/>
                <w:b/>
                <w:bCs/>
                <w:color w:val="000000"/>
                <w:sz w:val="21"/>
                <w:szCs w:val="21"/>
              </w:rPr>
              <w:t>） ：</w:t>
            </w:r>
            <w:r>
              <w:rPr>
                <w:rFonts w:hint="eastAsia" w:ascii="宋体" w:hAnsi="宋体" w:eastAsia="宋体" w:cs="宋体"/>
                <w:b/>
                <w:bCs/>
                <w:color w:val="000000"/>
                <w:sz w:val="21"/>
                <w:szCs w:val="21"/>
                <w:u w:val="single"/>
                <w:lang w:val="en-US" w:eastAsia="zh-CN"/>
              </w:rPr>
              <w:t xml:space="preserve"> </w:t>
            </w:r>
            <w:r>
              <w:rPr>
                <w:rFonts w:hint="eastAsia" w:ascii="宋体" w:hAnsi="宋体" w:cs="宋体"/>
                <w:b/>
                <w:bCs/>
                <w:color w:val="000000"/>
                <w:sz w:val="21"/>
                <w:szCs w:val="21"/>
                <w:u w:val="single"/>
                <w:lang w:val="en-US" w:eastAsia="zh-CN"/>
              </w:rPr>
              <w:t xml:space="preserve"> 207246.83</w:t>
            </w:r>
            <w:r>
              <w:rPr>
                <w:rFonts w:hint="eastAsia" w:ascii="宋体" w:hAnsi="宋体" w:eastAsia="宋体" w:cs="宋体"/>
                <w:b/>
                <w:bCs/>
                <w:color w:val="FF0000"/>
                <w:sz w:val="21"/>
                <w:szCs w:val="21"/>
                <w:u w:val="single"/>
                <w:lang w:val="en-US" w:eastAsia="zh-CN"/>
              </w:rPr>
              <w:t xml:space="preserve">元 </w:t>
            </w:r>
            <w:r>
              <w:rPr>
                <w:rFonts w:hint="eastAsia" w:ascii="宋体" w:hAnsi="宋体" w:cs="宋体"/>
                <w:b/>
                <w:bCs/>
                <w:color w:val="000000"/>
                <w:sz w:val="21"/>
                <w:szCs w:val="21"/>
                <w:u w:val="none"/>
                <w:lang w:val="en-US" w:eastAsia="zh-CN"/>
              </w:rPr>
              <w:t>。</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eastAsia" w:ascii="宋体" w:hAnsi="宋体" w:cs="Times New Roman"/>
                <w:b/>
                <w:bCs w:val="0"/>
                <w:color w:val="FF0000"/>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w:t>
            </w:r>
            <w:r>
              <w:rPr>
                <w:rFonts w:hint="eastAsia" w:ascii="宋体" w:hAnsi="宋体" w:cs="Times New Roman"/>
                <w:b/>
                <w:bCs/>
                <w:color w:val="FF0000"/>
                <w:sz w:val="21"/>
                <w:szCs w:val="21"/>
                <w:lang w:val="en-US" w:eastAsia="zh-CN"/>
              </w:rPr>
              <w:t>供应商自 2021年 1 月 1 日以来至今签订的与本次采购内容有关且金额不低于12.5万的业绩（1、含 2021 年 1 月 1 日，以签订合同时间为准，2、须提供不少于1个合同，3、采购内容有关是指栏杆或金属结构采购内容，4、合同金额是指单个合同签订的金额，若合同未能体现金额的须提供相关结算资料证明）。</w:t>
            </w:r>
          </w:p>
          <w:p>
            <w:pPr>
              <w:tabs>
                <w:tab w:val="left" w:pos="458"/>
              </w:tabs>
              <w:ind w:firstLine="211" w:firstLineChars="100"/>
              <w:rPr>
                <w:rFonts w:hint="default" w:ascii="宋体" w:hAnsi="宋体"/>
                <w:b/>
                <w:bCs w:val="0"/>
                <w:color w:val="auto"/>
                <w:szCs w:val="21"/>
                <w:lang w:val="en-US" w:eastAsia="zh-CN"/>
              </w:rPr>
            </w:pPr>
            <w:r>
              <w:rPr>
                <w:rFonts w:hint="eastAsia" w:ascii="宋体" w:hAnsi="宋体" w:cs="Times New Roman"/>
                <w:b/>
                <w:bCs w:val="0"/>
                <w:color w:val="auto"/>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r>
              <w:rPr>
                <w:rFonts w:hint="eastAsia" w:ascii="宋体" w:hAnsi="宋体"/>
                <w:b/>
                <w:bCs w:val="0"/>
                <w:color w:val="FF0000"/>
                <w:szCs w:val="21"/>
                <w:highlight w:val="none"/>
                <w:lang w:val="en-US" w:eastAsia="zh-CN"/>
              </w:rPr>
              <w:t>（未按要求胶装密封的，采购人可以拒收竞价文件）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numPr>
                <w:ilvl w:val="0"/>
                <w:numId w:val="2"/>
              </w:num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，报价包含材料设备费、运输费、上下车费、管理费、利润、税费、风险等全部费用，在整个供货期内均不调整单价，具体金额以实际结算金额为准</w:t>
            </w:r>
          </w:p>
          <w:p>
            <w:pPr>
              <w:numPr>
                <w:ilvl w:val="0"/>
                <w:numId w:val="0"/>
              </w:num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hint="eastAsia" w:ascii="宋体" w:hAnsi="宋体"/>
                <w:b/>
                <w:bCs w:val="0"/>
                <w:color w:val="auto"/>
                <w:szCs w:val="21"/>
                <w:lang w:val="en-US" w:eastAsia="zh-CN"/>
              </w:rPr>
            </w:pPr>
            <w:r>
              <w:rPr>
                <w:rFonts w:hint="eastAsia" w:ascii="宋体" w:hAnsi="宋体"/>
                <w:b/>
                <w:bCs w:val="0"/>
                <w:color w:val="auto"/>
                <w:szCs w:val="21"/>
                <w:lang w:val="en-US" w:eastAsia="zh-CN"/>
              </w:rPr>
              <w:t>4、对于供应商报价清单漏报项，未超过采购清单项数5%（含本数）且</w:t>
            </w:r>
            <w:r>
              <w:rPr>
                <w:rFonts w:hint="eastAsia" w:ascii="宋体" w:hAnsi="宋体"/>
                <w:b/>
                <w:bCs w:val="0"/>
                <w:color w:val="FF0000"/>
                <w:szCs w:val="21"/>
                <w:lang w:val="en-US" w:eastAsia="zh-CN"/>
              </w:rPr>
              <w:t>缺项累计金额（取值逻辑：根据采购清单控制单价取值计算）</w:t>
            </w:r>
            <w:r>
              <w:rPr>
                <w:rFonts w:hint="eastAsia" w:ascii="宋体" w:hAnsi="宋体"/>
                <w:b/>
                <w:bCs w:val="0"/>
                <w:color w:val="auto"/>
                <w:szCs w:val="21"/>
                <w:lang w:val="en-US" w:eastAsia="zh-CN"/>
              </w:rPr>
              <w:t>未超过采购控制价2%的，采购人视为供应商漏项价格包含在其他分项报价及总报价中。若供应商报价清单漏报项数超过采购清单项数5%（不含本数）或超过采购控制价2%的，其竞价文件无效。</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color w:val="FF0000"/>
                <w:lang w:val="en-US" w:eastAsia="zh-CN"/>
              </w:rPr>
              <w:t>2024</w:t>
            </w:r>
            <w:r>
              <w:rPr>
                <w:rFonts w:hint="eastAsia"/>
              </w:rPr>
              <w:t>年</w:t>
            </w:r>
            <w:r>
              <w:rPr>
                <w:rFonts w:hint="eastAsia"/>
                <w:lang w:val="en-US" w:eastAsia="zh-CN"/>
              </w:rPr>
              <w:t>5</w:t>
            </w:r>
            <w:r>
              <w:rPr>
                <w:rFonts w:hint="eastAsia"/>
              </w:rPr>
              <w:t>月</w:t>
            </w:r>
            <w:r>
              <w:rPr>
                <w:rFonts w:hint="eastAsia"/>
                <w:color w:val="FF0000"/>
                <w:lang w:val="en-US" w:eastAsia="zh-CN"/>
              </w:rPr>
              <w:t>20</w:t>
            </w:r>
            <w:bookmarkStart w:id="14" w:name="_GoBack"/>
            <w:bookmarkEnd w:id="14"/>
            <w:r>
              <w:rPr>
                <w:rFonts w:hint="eastAsia"/>
              </w:rPr>
              <w:t>日</w:t>
            </w:r>
            <w:r>
              <w:rPr>
                <w:rFonts w:hint="eastAsia"/>
                <w:color w:val="FF0000"/>
                <w:lang w:val="en-US" w:eastAsia="zh-CN"/>
              </w:rPr>
              <w:t>9</w:t>
            </w:r>
            <w:r>
              <w:rPr>
                <w:rFonts w:hint="eastAsia"/>
              </w:rPr>
              <w:t>时</w:t>
            </w:r>
            <w:r>
              <w:rPr>
                <w:rFonts w:hint="eastAsia"/>
                <w:color w:val="FF0000"/>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w:t>
            </w:r>
            <w:r>
              <w:rPr>
                <w:rFonts w:hint="eastAsia"/>
                <w:u w:val="single"/>
                <w:lang w:val="en-US" w:eastAsia="zh-CN"/>
              </w:rPr>
              <w:t>竞价</w:t>
            </w:r>
            <w:r>
              <w:rPr>
                <w:rFonts w:hint="eastAsia"/>
                <w:color w:val="FF0000"/>
                <w:u w:val="single"/>
                <w:lang w:val="en-US" w:eastAsia="zh-CN"/>
              </w:rPr>
              <w:t xml:space="preserve">  </w:t>
            </w:r>
            <w:r>
              <w:rPr>
                <w:rFonts w:hint="eastAsia"/>
                <w:lang w:val="en-US" w:eastAsia="zh-CN"/>
              </w:rPr>
              <w:t>。</w:t>
            </w:r>
          </w:p>
          <w:p>
            <w:pPr>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邮寄/现场递交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后邮寄到场或现场递交至</w:t>
            </w:r>
            <w:r>
              <w:rPr>
                <w:rFonts w:hint="eastAsia"/>
              </w:rPr>
              <w:t>：</w:t>
            </w:r>
            <w:r>
              <w:rPr>
                <w:rFonts w:hint="eastAsia"/>
                <w:lang w:val="en-US" w:eastAsia="zh-CN"/>
              </w:rPr>
              <w:t>雅安市市政建设工程有限公司雅安市大兴片区地下综合管廊建设项目（道路专业分包）</w:t>
            </w:r>
            <w:r>
              <w:rPr>
                <w:rFonts w:hint="eastAsia"/>
              </w:rPr>
              <w:t>，地址：</w:t>
            </w:r>
            <w:r>
              <w:rPr>
                <w:rFonts w:hint="eastAsia"/>
                <w:lang w:val="en-US" w:eastAsia="zh-CN"/>
              </w:rPr>
              <w:t>雅安市雨城区大兴镇蓝花楹路，收件人：祝亿，电话：18086994339。</w:t>
            </w:r>
          </w:p>
          <w:p>
            <w:pPr>
              <w:pStyle w:val="2"/>
              <w:ind w:firstLine="422" w:firstLineChars="200"/>
              <w:rPr>
                <w:rFonts w:hint="default"/>
                <w:lang w:val="en-US"/>
              </w:rPr>
            </w:pPr>
            <w:r>
              <w:rPr>
                <w:rFonts w:hint="eastAsia" w:ascii="宋体" w:hAnsi="宋体"/>
                <w:b/>
                <w:bCs w:val="0"/>
                <w:color w:val="FF0000"/>
                <w:szCs w:val="21"/>
                <w:lang w:val="en-US" w:eastAsia="zh-CN"/>
              </w:rPr>
              <w:t>注：若采用邮寄递交的，各供应商须将存有与竞价书一致的扫描件U盘与竞价书一并封装后进行递交；若为现场递交的，竞价书扫描件U盘可单独交由采购人现场拷贝后予以归还。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numPr>
                <w:ilvl w:val="0"/>
                <w:numId w:val="0"/>
              </w:numPr>
              <w:rPr>
                <w:rFonts w:hint="default" w:ascii="Times New Roman" w:hAnsi="Times New Roman" w:cs="Times New Roman"/>
                <w:lang w:val="en-US" w:eastAsia="zh-CN"/>
              </w:rPr>
            </w:pPr>
            <w:r>
              <w:rPr>
                <w:rFonts w:hint="eastAsia" w:ascii="Times New Roman" w:hAnsi="Times New Roman" w:cs="Times New Roman"/>
                <w:b/>
                <w:bCs/>
                <w:lang w:val="en-US" w:eastAsia="zh-CN"/>
              </w:rPr>
              <w:t>付款方式</w:t>
            </w:r>
          </w:p>
        </w:tc>
        <w:tc>
          <w:tcPr>
            <w:tcW w:w="7948" w:type="dxa"/>
            <w:gridSpan w:val="3"/>
            <w:noWrap w:val="0"/>
            <w:vAlign w:val="top"/>
          </w:tcPr>
          <w:p>
            <w:pPr>
              <w:numPr>
                <w:ilvl w:val="0"/>
                <w:numId w:val="0"/>
              </w:numPr>
              <w:rPr>
                <w:rFonts w:hint="eastAsia" w:ascii="Times New Roman" w:hAnsi="Times New Roman" w:cs="Times New Roman"/>
                <w:lang w:val="en-US" w:eastAsia="zh-CN"/>
              </w:rPr>
            </w:pPr>
            <w:r>
              <w:rPr>
                <w:rFonts w:hint="eastAsia" w:ascii="Times New Roman" w:hAnsi="Times New Roman" w:cs="Times New Roman"/>
                <w:lang w:val="en-US" w:eastAsia="zh-CN"/>
              </w:rPr>
              <w:t>按月支付上月已验收合格货物价款的80%；剩余20%滚动至下一支付月度进行支付，以此类推。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黑体" w:hAnsi="黑体" w:eastAsia="黑体"/>
          <w:color w:val="000000"/>
          <w:sz w:val="36"/>
        </w:rPr>
      </w:pPr>
    </w:p>
    <w:p>
      <w:pPr>
        <w:keepNext w:val="0"/>
        <w:keepLines w:val="0"/>
        <w:pageBreakBefore w:val="0"/>
        <w:widowControl w:val="0"/>
        <w:kinsoku/>
        <w:wordWrap/>
        <w:overflowPunct/>
        <w:topLinePunct w:val="0"/>
        <w:autoSpaceDE/>
        <w:autoSpaceDN/>
        <w:bidi w:val="0"/>
        <w:adjustRightInd/>
        <w:snapToGrid/>
        <w:spacing w:line="600" w:lineRule="exact"/>
        <w:ind w:firstLine="1080" w:firstLineChars="300"/>
        <w:jc w:val="both"/>
        <w:textAlignment w:val="auto"/>
        <w:rPr>
          <w:rFonts w:hint="eastAsia" w:ascii="黑体" w:hAnsi="黑体" w:eastAsia="黑体" w:cs="Times New Roman"/>
          <w:color w:val="000000"/>
          <w:sz w:val="36"/>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s="Times New Roman"/>
          <w:color w:val="000000"/>
          <w:sz w:val="36"/>
          <w:lang w:val="en-US" w:eastAsia="zh-CN"/>
        </w:rPr>
        <w:t>雅安市大兴片区地下综合管廊建设项目</w:t>
      </w:r>
    </w:p>
    <w:p>
      <w:pPr>
        <w:keepNext w:val="0"/>
        <w:keepLines w:val="0"/>
        <w:pageBreakBefore w:val="0"/>
        <w:widowControl w:val="0"/>
        <w:kinsoku/>
        <w:wordWrap/>
        <w:overflowPunct/>
        <w:topLinePunct w:val="0"/>
        <w:autoSpaceDE/>
        <w:autoSpaceDN/>
        <w:bidi w:val="0"/>
        <w:adjustRightInd/>
        <w:snapToGrid/>
        <w:spacing w:line="600" w:lineRule="exact"/>
        <w:ind w:firstLine="2880" w:firstLineChars="800"/>
        <w:jc w:val="both"/>
        <w:textAlignment w:val="auto"/>
        <w:rPr>
          <w:rFonts w:hint="eastAsia" w:ascii="黑体" w:hAnsi="黑体" w:eastAsia="黑体"/>
          <w:bCs/>
          <w:color w:val="000000"/>
          <w:sz w:val="36"/>
          <w:szCs w:val="36"/>
          <w:u w:val="single"/>
          <w:lang w:val="en-US" w:eastAsia="zh-CN"/>
        </w:rPr>
      </w:pPr>
      <w:r>
        <w:rPr>
          <w:rFonts w:hint="eastAsia" w:ascii="黑体" w:hAnsi="黑体" w:eastAsia="黑体" w:cs="Times New Roman"/>
          <w:color w:val="000000"/>
          <w:sz w:val="36"/>
          <w:lang w:val="en-US" w:eastAsia="zh-CN"/>
        </w:rPr>
        <w:t>道路专业分包栏杆</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雅安市市政建设工程有限公司</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sz w:val="24"/>
          <w:u w:val="single"/>
          <w:lang w:val="en-US" w:eastAsia="zh-CN"/>
        </w:rPr>
        <w:t>雅安市大兴片区地下综合管廊建设项目道路专业分包栏杆采购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（5）</w:t>
      </w:r>
      <w:r>
        <w:rPr>
          <w:rFonts w:hint="eastAsia" w:ascii="宋体" w:hAnsi="宋体"/>
          <w:color w:val="FF0000"/>
          <w:sz w:val="24"/>
          <w:lang w:val="en-US" w:eastAsia="zh-CN"/>
        </w:rPr>
        <w:t>供应商自 2021年 1 月 1 日以来至今签订的与本次采购内容有关且金额不低于12.5万的业绩（1、含 2021 年 1 月 1 日，以签订合同时间为准，2、须提供不少于1个合同，3、采购内容有关是指栏杆或金属结构采购内容，4、合同金额是指单个合同签订的金额，若合同未能体现金额的须提供相关结算资料证明）。</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hint="eastAsia"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0"/>
        <w:rPr>
          <w:rFonts w:hint="eastAsia" w:ascii="宋体" w:hAnsi="宋体"/>
          <w:color w:val="000000"/>
          <w:sz w:val="24"/>
        </w:rPr>
      </w:pPr>
    </w:p>
    <w:p>
      <w:pPr>
        <w:pStyle w:val="9"/>
        <w:spacing w:line="360" w:lineRule="auto"/>
        <w:ind w:firstLine="480"/>
        <w:rPr>
          <w:rFonts w:hint="eastAsia" w:ascii="宋体" w:hAnsi="宋体"/>
          <w:color w:val="000000"/>
          <w:sz w:val="24"/>
        </w:rPr>
      </w:pPr>
    </w:p>
    <w:p>
      <w:pPr>
        <w:pStyle w:val="9"/>
        <w:spacing w:line="360" w:lineRule="auto"/>
        <w:ind w:firstLine="482"/>
        <w:rPr>
          <w:rFonts w:hint="eastAsia" w:ascii="宋体" w:hAnsi="宋体"/>
          <w:color w:val="00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466"/>
      <w:bookmarkStart w:id="3" w:name="_Toc132111898"/>
      <w:bookmarkStart w:id="4" w:name="_Toc132265249"/>
      <w:bookmarkStart w:id="5" w:name="_Toc131305915"/>
      <w:bookmarkStart w:id="6" w:name="_Toc132523737"/>
      <w:bookmarkStart w:id="7" w:name="_Toc282613285"/>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雅安市市政建设工程有限公司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sz w:val="24"/>
          <w:u w:val="single"/>
          <w:lang w:val="en-US" w:eastAsia="zh-CN"/>
        </w:rPr>
        <w:t>雅安市大兴片区地下综合管廊建设项目道路专业分包栏杆采购</w:t>
      </w:r>
      <w:r>
        <w:rPr>
          <w:rFonts w:hint="eastAsia" w:ascii="宋体" w:hAnsi="宋体"/>
          <w:color w:val="FF000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kern w:val="0"/>
          <w:sz w:val="24"/>
          <w:u w:val="single"/>
          <w:lang w:val="en-US" w:eastAsia="zh-CN"/>
        </w:rPr>
        <w:t>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pStyle w:val="2"/>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3</w:t>
      </w:r>
      <w:r>
        <w:rPr>
          <w:rFonts w:hint="eastAsia" w:ascii="宋体" w:hAnsi="宋体"/>
          <w:color w:val="000000"/>
        </w:rPr>
        <w:t>：</w:t>
      </w:r>
      <w:r>
        <w:rPr>
          <w:rFonts w:hint="eastAsia" w:ascii="宋体" w:hAnsi="宋体"/>
          <w:b/>
          <w:color w:val="000000"/>
          <w:sz w:val="28"/>
          <w:szCs w:val="28"/>
          <w:lang w:val="en-US" w:eastAsia="zh-CN"/>
        </w:rPr>
        <w:t>采购清单</w:t>
      </w:r>
    </w:p>
    <w:p>
      <w:pPr>
        <w:pStyle w:val="2"/>
        <w:rPr>
          <w:rFonts w:hint="eastAsia" w:ascii="宋体" w:hAnsi="宋体"/>
          <w:b/>
          <w:bCs/>
          <w:color w:val="FF0000"/>
          <w:sz w:val="24"/>
          <w:lang w:val="en-US" w:eastAsia="zh-CN"/>
        </w:rPr>
      </w:pPr>
    </w:p>
    <w:tbl>
      <w:tblPr>
        <w:tblStyle w:val="10"/>
        <w:tblW w:w="98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6"/>
        <w:gridCol w:w="1677"/>
        <w:gridCol w:w="656"/>
        <w:gridCol w:w="1096"/>
        <w:gridCol w:w="961"/>
        <w:gridCol w:w="961"/>
        <w:gridCol w:w="1096"/>
        <w:gridCol w:w="27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2" w:hRule="atLeast"/>
        </w:trPr>
        <w:tc>
          <w:tcPr>
            <w:tcW w:w="98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雅安市大兴片区地下综合管廊建设项目道路专业分包</w:t>
            </w:r>
            <w:r>
              <w:rPr>
                <w:rFonts w:hint="eastAsia" w:ascii="宋体" w:hAnsi="宋体" w:eastAsia="宋体" w:cs="宋体"/>
                <w:b/>
                <w:bCs/>
                <w:i w:val="0"/>
                <w:iCs w:val="0"/>
                <w:color w:val="000000"/>
                <w:kern w:val="0"/>
                <w:sz w:val="36"/>
                <w:szCs w:val="36"/>
                <w:u w:val="none"/>
                <w:lang w:val="en-US" w:eastAsia="zh-CN" w:bidi="ar"/>
              </w:rPr>
              <w:br w:type="textWrapping"/>
            </w:r>
            <w:r>
              <w:rPr>
                <w:rFonts w:hint="eastAsia" w:ascii="宋体" w:hAnsi="宋体" w:eastAsia="宋体" w:cs="宋体"/>
                <w:b/>
                <w:bCs/>
                <w:i w:val="0"/>
                <w:iCs w:val="0"/>
                <w:color w:val="000000"/>
                <w:kern w:val="0"/>
                <w:sz w:val="36"/>
                <w:szCs w:val="36"/>
                <w:u w:val="none"/>
                <w:lang w:val="en-US" w:eastAsia="zh-CN" w:bidi="ar"/>
              </w:rPr>
              <w:t>栏杆采购报价单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暂定数量</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含税控制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单价（元）</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含税报价（元）</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含税合计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（元）</w:t>
            </w: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不锈钢复合管金属栏杆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1.栏杆材质、规格：12mm厚钢板立柱，不锈钢复合管栏杆 h=1200mm</w:t>
            </w:r>
            <w:r>
              <w:rPr>
                <w:rFonts w:hint="eastAsia" w:ascii="楷体" w:hAnsi="楷体" w:eastAsia="楷体" w:cs="楷体"/>
                <w:i w:val="0"/>
                <w:iCs w:val="0"/>
                <w:color w:val="000000"/>
                <w:kern w:val="0"/>
                <w:sz w:val="22"/>
                <w:szCs w:val="22"/>
                <w:u w:val="none"/>
                <w:lang w:val="en-US" w:eastAsia="zh-CN" w:bidi="ar"/>
              </w:rPr>
              <w:br w:type="textWrapping"/>
            </w:r>
            <w:r>
              <w:rPr>
                <w:rFonts w:hint="eastAsia" w:ascii="楷体" w:hAnsi="楷体" w:eastAsia="楷体" w:cs="楷体"/>
                <w:i w:val="0"/>
                <w:iCs w:val="0"/>
                <w:color w:val="000000"/>
                <w:kern w:val="0"/>
                <w:sz w:val="22"/>
                <w:szCs w:val="22"/>
                <w:u w:val="none"/>
                <w:lang w:val="en-US" w:eastAsia="zh-CN" w:bidi="ar"/>
              </w:rPr>
              <w:t xml:space="preserve">2.具体做法详设计图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不锈钢复合管金属栏杆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1.栏杆材质、规格：12mm厚钢板立柱，不锈钢复合管栏杆 h=1140mm</w:t>
            </w:r>
            <w:r>
              <w:rPr>
                <w:rFonts w:hint="eastAsia" w:ascii="楷体" w:hAnsi="楷体" w:eastAsia="楷体" w:cs="楷体"/>
                <w:i w:val="0"/>
                <w:iCs w:val="0"/>
                <w:color w:val="000000"/>
                <w:kern w:val="0"/>
                <w:sz w:val="22"/>
                <w:szCs w:val="22"/>
                <w:u w:val="none"/>
                <w:lang w:val="en-US" w:eastAsia="zh-CN" w:bidi="ar"/>
              </w:rPr>
              <w:br w:type="textWrapping"/>
            </w:r>
            <w:r>
              <w:rPr>
                <w:rFonts w:hint="eastAsia" w:ascii="楷体" w:hAnsi="楷体" w:eastAsia="楷体" w:cs="楷体"/>
                <w:i w:val="0"/>
                <w:iCs w:val="0"/>
                <w:color w:val="000000"/>
                <w:kern w:val="0"/>
                <w:sz w:val="22"/>
                <w:szCs w:val="22"/>
                <w:u w:val="none"/>
                <w:lang w:val="en-US" w:eastAsia="zh-CN" w:bidi="ar"/>
              </w:rPr>
              <w:t xml:space="preserve">2.具体做法详设计图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波形护栏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 xml:space="preserve">报价包含图纸所有材料和配套的辅材（100课镀锌普板厚度3.0、100克镀锌调节板厚度3.0、立柱、托架、柱帽、螺栓、垫片、端头），具体做法详设计图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35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不含税总计（元）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35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35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含税总计（元）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9820" w:type="dxa"/>
            <w:gridSpan w:val="8"/>
            <w:tcBorders>
              <w:top w:val="nil"/>
              <w:left w:val="nil"/>
              <w:bottom w:val="nil"/>
              <w:right w:val="nil"/>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注：1.报价包含材料费、上下车费、运费、材料费、包装费、涂装费、管理费、利润、税金、风险、安装及乙方因出售该物资应缴纳的一切税费等全部费用。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报价单位名称（盖章）：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法定代表人或授权代表（签字）：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日期:       年    月     日</w:t>
            </w:r>
          </w:p>
        </w:tc>
      </w:tr>
    </w:tbl>
    <w:p>
      <w:pPr>
        <w:rPr>
          <w:rFonts w:hint="eastAsia"/>
          <w:lang w:val="en-US" w:eastAsia="zh-CN"/>
        </w:rPr>
        <w:sectPr>
          <w:pgSz w:w="11850" w:h="16783"/>
          <w:pgMar w:top="1200" w:right="960" w:bottom="1300" w:left="1080" w:header="0" w:footer="1115" w:gutter="0"/>
          <w:pgNumType w:fmt="decimal"/>
          <w:cols w:space="720" w:num="1"/>
        </w:sect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bookmarkEnd w:id="2"/>
      <w:bookmarkEnd w:id="3"/>
      <w:bookmarkEnd w:id="4"/>
      <w:bookmarkEnd w:id="5"/>
      <w:bookmarkEnd w:id="6"/>
      <w:bookmarkEnd w:id="7"/>
      <w:r>
        <w:rPr>
          <w:rFonts w:hint="eastAsia" w:ascii="宋体" w:hAnsi="宋体"/>
          <w:color w:val="000000"/>
          <w:lang w:val="en-US" w:eastAsia="zh-CN"/>
        </w:rPr>
        <w:t>4</w:t>
      </w:r>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pStyle w:val="2"/>
        <w:rPr>
          <w:rFonts w:hint="eastAsia"/>
        </w:rPr>
      </w:pPr>
    </w:p>
    <w:p>
      <w:pPr>
        <w:spacing w:line="360" w:lineRule="auto"/>
        <w:rPr>
          <w:rFonts w:hint="eastAsia" w:ascii="宋体" w:hAnsi="宋体" w:eastAsia="宋体"/>
          <w:b/>
          <w:color w:val="000000"/>
          <w:sz w:val="30"/>
          <w:lang w:val="en-US" w:eastAsia="zh-CN"/>
        </w:rPr>
      </w:pPr>
      <w:r>
        <w:rPr>
          <w:rFonts w:hint="eastAsia" w:ascii="宋体" w:hAnsi="宋体"/>
          <w:color w:val="000000"/>
        </w:rPr>
        <w:t>附件</w:t>
      </w:r>
      <w:r>
        <w:rPr>
          <w:rFonts w:hint="eastAsia" w:ascii="宋体" w:hAnsi="宋体"/>
          <w:color w:val="000000"/>
          <w:lang w:val="en-US" w:eastAsia="zh-CN"/>
        </w:rPr>
        <w:t>5</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sz w:val="24"/>
          <w:u w:val="single"/>
          <w:lang w:val="en-US" w:eastAsia="zh-CN"/>
        </w:rPr>
        <w:t>雅安市大兴片区地下综合管廊建设项目道路专业分包栏杆采购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133"/>
      <w:bookmarkStart w:id="9" w:name="_Toc156059747"/>
      <w:bookmarkStart w:id="10" w:name="_Toc134953396"/>
      <w:bookmarkStart w:id="11" w:name="_Toc138581214"/>
      <w:bookmarkStart w:id="12" w:name="_Toc282613287"/>
      <w:bookmarkStart w:id="13" w:name="_Toc152748104"/>
    </w:p>
    <w:p>
      <w:pPr>
        <w:pStyle w:val="2"/>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6</w:t>
      </w:r>
    </w:p>
    <w:p>
      <w:pPr>
        <w:pStyle w:val="4"/>
        <w:spacing w:line="580" w:lineRule="exact"/>
        <w:ind w:left="0" w:leftChars="0" w:firstLine="0" w:firstLineChars="0"/>
        <w:rPr>
          <w:rFonts w:ascii="方正小标宋简体" w:hAnsi="宋体" w:eastAsia="方正小标宋简体"/>
          <w:color w:val="0D0D0D"/>
          <w:sz w:val="44"/>
          <w:szCs w:val="44"/>
        </w:rPr>
      </w:pPr>
    </w:p>
    <w:p>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雅安市市政建设工程有限公司</w:t>
      </w:r>
      <w:r>
        <w:rPr>
          <w:rFonts w:hint="eastAsia" w:hAnsi="宋体"/>
          <w:color w:val="0D0D0D"/>
          <w:sz w:val="24"/>
        </w:rPr>
        <w:t xml:space="preserve"> </w:t>
      </w:r>
    </w:p>
    <w:p>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sz w:val="24"/>
          <w:u w:val="single"/>
          <w:lang w:val="en-US" w:eastAsia="zh-CN"/>
        </w:rPr>
        <w:t>雅安市大兴片区地下综合管廊建设项目道路专业分包栏杆采购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default" w:ascii="Calibri" w:hAnsi="Calibri" w:eastAsia="宋体" w:cs="Times New Roman"/>
          <w:kern w:val="2"/>
          <w:sz w:val="21"/>
          <w:szCs w:val="24"/>
          <w:lang w:val="en-US" w:eastAsia="zh-CN" w:bidi="ar-SA"/>
        </w:rPr>
      </w:pPr>
      <w:r>
        <w:rPr>
          <w:rFonts w:hint="eastAsia"/>
          <w:lang w:val="en-US" w:eastAsia="zh-CN"/>
        </w:rPr>
        <w:t>附件7</w:t>
      </w:r>
    </w:p>
    <w:p>
      <w:pPr>
        <w:tabs>
          <w:tab w:val="left" w:pos="458"/>
        </w:tabs>
        <w:ind w:firstLine="321" w:firstLineChars="100"/>
        <w:jc w:val="center"/>
        <w:rPr>
          <w:rFonts w:hint="eastAsia" w:ascii="宋体" w:hAnsi="宋体" w:cs="Times New Roman"/>
          <w:b/>
          <w:bCs w:val="0"/>
          <w:color w:val="FF0000"/>
          <w:sz w:val="32"/>
          <w:szCs w:val="32"/>
          <w:lang w:val="en-US" w:eastAsia="zh-CN"/>
        </w:rPr>
      </w:pPr>
      <w:r>
        <w:rPr>
          <w:rFonts w:hint="eastAsia" w:ascii="宋体" w:hAnsi="宋体" w:cs="Times New Roman"/>
          <w:b/>
          <w:bCs/>
          <w:color w:val="FF0000"/>
          <w:sz w:val="32"/>
          <w:szCs w:val="32"/>
          <w:lang w:val="en-US" w:eastAsia="zh-CN"/>
        </w:rPr>
        <w:t>供应商自 2021年 1 月 1 日以来至今签订的与本次采购内容有关且金额不低于12.5万的业绩（1、含 2021 年 1 月 1 日，以签订合同时间为准，2、须提供不少于1个合同，3、采购内容有关是指栏杆或金属结构采购内容，4、合同金额是指单个合同签订的金额，若合同未能体现金额的须提供相关结算资料证明）。</w:t>
      </w: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color w:val="FF0000"/>
          <w:sz w:val="24"/>
          <w:lang w:eastAsia="zh-CN"/>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rPr>
          <w:rFonts w:hint="eastAsia" w:ascii="宋体" w:hAnsi="宋体"/>
          <w:b/>
          <w:color w:val="FF0000"/>
          <w:sz w:val="24"/>
          <w:lang w:eastAsia="zh-CN"/>
        </w:rPr>
      </w:pPr>
    </w:p>
    <w:p>
      <w:pPr>
        <w:pStyle w:val="5"/>
        <w:rPr>
          <w:rFonts w:hint="eastAsia" w:ascii="宋体" w:hAnsi="宋体"/>
          <w:b/>
          <w:color w:val="FF0000"/>
          <w:sz w:val="24"/>
          <w:lang w:eastAsia="zh-CN"/>
        </w:rPr>
      </w:pPr>
    </w:p>
    <w:p>
      <w:pPr>
        <w:rPr>
          <w:rFonts w:hint="eastAsia" w:ascii="宋体" w:hAnsi="宋体"/>
          <w:b/>
          <w:color w:val="FF0000"/>
          <w:sz w:val="24"/>
          <w:lang w:eastAsia="zh-CN"/>
        </w:rPr>
      </w:pPr>
    </w:p>
    <w:p>
      <w:pPr>
        <w:pStyle w:val="2"/>
        <w:rPr>
          <w:rFonts w:hint="eastAsia"/>
          <w:lang w:val="en-US" w:eastAsia="zh-CN"/>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ascii="Calibri" w:hAnsi="Calibri" w:cs="Times New Roman"/>
          <w:kern w:val="2"/>
          <w:sz w:val="21"/>
          <w:szCs w:val="24"/>
          <w:lang w:val="en-US" w:eastAsia="zh-CN" w:bidi="ar-SA"/>
        </w:rPr>
        <w:t>8</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959E8"/>
    <w:multiLevelType w:val="singleLevel"/>
    <w:tmpl w:val="8E7959E8"/>
    <w:lvl w:ilvl="0" w:tentative="0">
      <w:start w:val="1"/>
      <w:numFmt w:val="decimal"/>
      <w:suff w:val="nothing"/>
      <w:lvlText w:val="%1、"/>
      <w:lvlJc w:val="left"/>
    </w:lvl>
  </w:abstractNum>
  <w:abstractNum w:abstractNumId="1">
    <w:nsid w:val="F8EF30A5"/>
    <w:multiLevelType w:val="singleLevel"/>
    <w:tmpl w:val="F8EF30A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mNTI0YWFlZDk4ODM5ZDQ3ZjgyYThiODc5Y2I5ZTYifQ=="/>
  </w:docVars>
  <w:rsids>
    <w:rsidRoot w:val="00000000"/>
    <w:rsid w:val="000E5D71"/>
    <w:rsid w:val="00296707"/>
    <w:rsid w:val="007B4A44"/>
    <w:rsid w:val="015A40AD"/>
    <w:rsid w:val="01DD59FB"/>
    <w:rsid w:val="0314369E"/>
    <w:rsid w:val="038A7E04"/>
    <w:rsid w:val="03A367D0"/>
    <w:rsid w:val="03EA08A3"/>
    <w:rsid w:val="045F4DED"/>
    <w:rsid w:val="04602913"/>
    <w:rsid w:val="04726D72"/>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1164E8"/>
    <w:rsid w:val="0A3E36F7"/>
    <w:rsid w:val="0A4A3F1E"/>
    <w:rsid w:val="0A526E6E"/>
    <w:rsid w:val="0A8E01DA"/>
    <w:rsid w:val="0B0C7351"/>
    <w:rsid w:val="0B220922"/>
    <w:rsid w:val="0B2D382F"/>
    <w:rsid w:val="0BF7590B"/>
    <w:rsid w:val="0C61547A"/>
    <w:rsid w:val="0C684A5B"/>
    <w:rsid w:val="0C7E602C"/>
    <w:rsid w:val="0D045D48"/>
    <w:rsid w:val="0D3E064B"/>
    <w:rsid w:val="0D431C09"/>
    <w:rsid w:val="0EA904C1"/>
    <w:rsid w:val="0ECA158C"/>
    <w:rsid w:val="0F152C78"/>
    <w:rsid w:val="0F16079E"/>
    <w:rsid w:val="0F44355D"/>
    <w:rsid w:val="0F475870"/>
    <w:rsid w:val="0F6310DF"/>
    <w:rsid w:val="0F751CD8"/>
    <w:rsid w:val="0F9B0CA3"/>
    <w:rsid w:val="10263541"/>
    <w:rsid w:val="10534452"/>
    <w:rsid w:val="10620F9A"/>
    <w:rsid w:val="10FC5772"/>
    <w:rsid w:val="11036B00"/>
    <w:rsid w:val="115832F0"/>
    <w:rsid w:val="11993255"/>
    <w:rsid w:val="11B9690A"/>
    <w:rsid w:val="11E608FC"/>
    <w:rsid w:val="11EC57E6"/>
    <w:rsid w:val="1232769D"/>
    <w:rsid w:val="12687563"/>
    <w:rsid w:val="126B20EE"/>
    <w:rsid w:val="12706417"/>
    <w:rsid w:val="12F901BB"/>
    <w:rsid w:val="135F30E0"/>
    <w:rsid w:val="1380268A"/>
    <w:rsid w:val="13AA3C6A"/>
    <w:rsid w:val="13BF1404"/>
    <w:rsid w:val="140C03C2"/>
    <w:rsid w:val="140E7C96"/>
    <w:rsid w:val="14151024"/>
    <w:rsid w:val="141A488D"/>
    <w:rsid w:val="145F4995"/>
    <w:rsid w:val="152943BF"/>
    <w:rsid w:val="156264EB"/>
    <w:rsid w:val="160C6457"/>
    <w:rsid w:val="160D1B0B"/>
    <w:rsid w:val="16E96798"/>
    <w:rsid w:val="17444112"/>
    <w:rsid w:val="17705F66"/>
    <w:rsid w:val="17726BA9"/>
    <w:rsid w:val="17B3510D"/>
    <w:rsid w:val="17F84A4C"/>
    <w:rsid w:val="180A4C18"/>
    <w:rsid w:val="18DA45EA"/>
    <w:rsid w:val="19151AC7"/>
    <w:rsid w:val="1A2969D5"/>
    <w:rsid w:val="1A906615"/>
    <w:rsid w:val="1B0A3EAC"/>
    <w:rsid w:val="1B6B0A5D"/>
    <w:rsid w:val="1B9709BC"/>
    <w:rsid w:val="1BB76DDC"/>
    <w:rsid w:val="1C7A05BE"/>
    <w:rsid w:val="1CEB6BB4"/>
    <w:rsid w:val="1D5F77B4"/>
    <w:rsid w:val="1DE53AF9"/>
    <w:rsid w:val="1DFB572F"/>
    <w:rsid w:val="1ED61CF8"/>
    <w:rsid w:val="1F51312D"/>
    <w:rsid w:val="1F7F5714"/>
    <w:rsid w:val="1FC81641"/>
    <w:rsid w:val="1FE8583F"/>
    <w:rsid w:val="20062169"/>
    <w:rsid w:val="2020147D"/>
    <w:rsid w:val="20485F86"/>
    <w:rsid w:val="20AA080C"/>
    <w:rsid w:val="212C521A"/>
    <w:rsid w:val="2133507B"/>
    <w:rsid w:val="21696E53"/>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B93EAF"/>
    <w:rsid w:val="28D76D98"/>
    <w:rsid w:val="29002DA2"/>
    <w:rsid w:val="29883BEF"/>
    <w:rsid w:val="29BB3FC4"/>
    <w:rsid w:val="29C95561"/>
    <w:rsid w:val="2AAB228B"/>
    <w:rsid w:val="2AF7102C"/>
    <w:rsid w:val="2B97636B"/>
    <w:rsid w:val="2C6E531E"/>
    <w:rsid w:val="2C82551C"/>
    <w:rsid w:val="2C8903AA"/>
    <w:rsid w:val="2CAB0320"/>
    <w:rsid w:val="2CB32B8A"/>
    <w:rsid w:val="2CBC5AF7"/>
    <w:rsid w:val="2CC3566A"/>
    <w:rsid w:val="2CC61061"/>
    <w:rsid w:val="2CE43832"/>
    <w:rsid w:val="2D572256"/>
    <w:rsid w:val="2D636BD1"/>
    <w:rsid w:val="2D947006"/>
    <w:rsid w:val="2DF47AA5"/>
    <w:rsid w:val="2E0423DE"/>
    <w:rsid w:val="2E1B3283"/>
    <w:rsid w:val="2E1D6FFC"/>
    <w:rsid w:val="2E2F7612"/>
    <w:rsid w:val="2E3648D4"/>
    <w:rsid w:val="2E876B6B"/>
    <w:rsid w:val="2EE74D27"/>
    <w:rsid w:val="2F171C9D"/>
    <w:rsid w:val="2F44025A"/>
    <w:rsid w:val="2F5B04C2"/>
    <w:rsid w:val="2F7B222C"/>
    <w:rsid w:val="304A7E50"/>
    <w:rsid w:val="30A25EDE"/>
    <w:rsid w:val="31091AB9"/>
    <w:rsid w:val="310B75DF"/>
    <w:rsid w:val="31271F3F"/>
    <w:rsid w:val="31A43590"/>
    <w:rsid w:val="31F369F1"/>
    <w:rsid w:val="329068A4"/>
    <w:rsid w:val="32C043F9"/>
    <w:rsid w:val="32EC51EE"/>
    <w:rsid w:val="33DA14EB"/>
    <w:rsid w:val="3437693D"/>
    <w:rsid w:val="34713BFD"/>
    <w:rsid w:val="34CE72A2"/>
    <w:rsid w:val="34D128EE"/>
    <w:rsid w:val="35284C04"/>
    <w:rsid w:val="355C3E01"/>
    <w:rsid w:val="359A7184"/>
    <w:rsid w:val="35BE10C4"/>
    <w:rsid w:val="36B10C29"/>
    <w:rsid w:val="379320DC"/>
    <w:rsid w:val="37D20E57"/>
    <w:rsid w:val="384F70AD"/>
    <w:rsid w:val="385278E2"/>
    <w:rsid w:val="3878269F"/>
    <w:rsid w:val="38912AC0"/>
    <w:rsid w:val="389C3213"/>
    <w:rsid w:val="38ED3A6E"/>
    <w:rsid w:val="38FD0155"/>
    <w:rsid w:val="39292CF8"/>
    <w:rsid w:val="392A081F"/>
    <w:rsid w:val="39581830"/>
    <w:rsid w:val="39E9692C"/>
    <w:rsid w:val="39EE3059"/>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0AE17C6"/>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79A2ECF"/>
    <w:rsid w:val="484336AB"/>
    <w:rsid w:val="484E49E0"/>
    <w:rsid w:val="487D6BBD"/>
    <w:rsid w:val="488A3088"/>
    <w:rsid w:val="48961A2D"/>
    <w:rsid w:val="48BF2D31"/>
    <w:rsid w:val="48D662CD"/>
    <w:rsid w:val="49373210"/>
    <w:rsid w:val="49A14B2D"/>
    <w:rsid w:val="49E54A1A"/>
    <w:rsid w:val="4A275032"/>
    <w:rsid w:val="4A3459A1"/>
    <w:rsid w:val="4A3D2AA8"/>
    <w:rsid w:val="4A6C0C97"/>
    <w:rsid w:val="4A7025B2"/>
    <w:rsid w:val="4A954692"/>
    <w:rsid w:val="4AA80403"/>
    <w:rsid w:val="4B3317B5"/>
    <w:rsid w:val="4B4E4840"/>
    <w:rsid w:val="4C3A6B73"/>
    <w:rsid w:val="4CEF795D"/>
    <w:rsid w:val="4CF03E01"/>
    <w:rsid w:val="4D0F1DAD"/>
    <w:rsid w:val="4D564585"/>
    <w:rsid w:val="4DB841F3"/>
    <w:rsid w:val="4DD728CB"/>
    <w:rsid w:val="4DED7995"/>
    <w:rsid w:val="4E345F70"/>
    <w:rsid w:val="4E4D5283"/>
    <w:rsid w:val="4E616639"/>
    <w:rsid w:val="4EB72315"/>
    <w:rsid w:val="4ED60DD5"/>
    <w:rsid w:val="4EDE7C89"/>
    <w:rsid w:val="4F005E52"/>
    <w:rsid w:val="4F015925"/>
    <w:rsid w:val="503F29AA"/>
    <w:rsid w:val="508825A3"/>
    <w:rsid w:val="50F43794"/>
    <w:rsid w:val="513675CD"/>
    <w:rsid w:val="514C537E"/>
    <w:rsid w:val="51B3364F"/>
    <w:rsid w:val="51E23F34"/>
    <w:rsid w:val="52524C16"/>
    <w:rsid w:val="527C6137"/>
    <w:rsid w:val="52903990"/>
    <w:rsid w:val="529E7E5B"/>
    <w:rsid w:val="5312408E"/>
    <w:rsid w:val="53193572"/>
    <w:rsid w:val="535449BE"/>
    <w:rsid w:val="536966BB"/>
    <w:rsid w:val="537B63EF"/>
    <w:rsid w:val="53E977FC"/>
    <w:rsid w:val="54176117"/>
    <w:rsid w:val="54A11E85"/>
    <w:rsid w:val="54BA6AA3"/>
    <w:rsid w:val="55307AE6"/>
    <w:rsid w:val="555E1B24"/>
    <w:rsid w:val="55A7171D"/>
    <w:rsid w:val="56DC53F6"/>
    <w:rsid w:val="56FC7846"/>
    <w:rsid w:val="571D6CF2"/>
    <w:rsid w:val="57E9601D"/>
    <w:rsid w:val="580544D9"/>
    <w:rsid w:val="58D345D7"/>
    <w:rsid w:val="590D1897"/>
    <w:rsid w:val="59864535"/>
    <w:rsid w:val="59D81D4B"/>
    <w:rsid w:val="5A080E22"/>
    <w:rsid w:val="5A8042EB"/>
    <w:rsid w:val="5A931936"/>
    <w:rsid w:val="5AB04A47"/>
    <w:rsid w:val="5AD61FA7"/>
    <w:rsid w:val="5C71038F"/>
    <w:rsid w:val="5C78171D"/>
    <w:rsid w:val="5C8E3FF5"/>
    <w:rsid w:val="5CD64696"/>
    <w:rsid w:val="5D443CF5"/>
    <w:rsid w:val="5D855D7E"/>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1820A79"/>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7716EE"/>
    <w:rsid w:val="65AC2438"/>
    <w:rsid w:val="661A55F3"/>
    <w:rsid w:val="66344907"/>
    <w:rsid w:val="6659497C"/>
    <w:rsid w:val="66E80E2A"/>
    <w:rsid w:val="66F666B5"/>
    <w:rsid w:val="67B70B86"/>
    <w:rsid w:val="67EC3C77"/>
    <w:rsid w:val="68060525"/>
    <w:rsid w:val="681F15E7"/>
    <w:rsid w:val="68C857DA"/>
    <w:rsid w:val="692E7D33"/>
    <w:rsid w:val="6A7E25F5"/>
    <w:rsid w:val="6A852C01"/>
    <w:rsid w:val="6A910658"/>
    <w:rsid w:val="6AB26742"/>
    <w:rsid w:val="6ABA1153"/>
    <w:rsid w:val="6ACD7AA4"/>
    <w:rsid w:val="6AD20B92"/>
    <w:rsid w:val="6B1940CB"/>
    <w:rsid w:val="6B86364A"/>
    <w:rsid w:val="6BFF7183"/>
    <w:rsid w:val="6C4C227F"/>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A330CC"/>
    <w:rsid w:val="73D2575F"/>
    <w:rsid w:val="7416389E"/>
    <w:rsid w:val="748C0004"/>
    <w:rsid w:val="74D44B0B"/>
    <w:rsid w:val="74F61FBC"/>
    <w:rsid w:val="74FC2045"/>
    <w:rsid w:val="75884257"/>
    <w:rsid w:val="765C57B4"/>
    <w:rsid w:val="768F43A1"/>
    <w:rsid w:val="77974CF6"/>
    <w:rsid w:val="78625F6B"/>
    <w:rsid w:val="78830352"/>
    <w:rsid w:val="789C2D6F"/>
    <w:rsid w:val="78A31478"/>
    <w:rsid w:val="78A5551D"/>
    <w:rsid w:val="78FD502C"/>
    <w:rsid w:val="79A454A8"/>
    <w:rsid w:val="7ACD45C5"/>
    <w:rsid w:val="7AFB1A3F"/>
    <w:rsid w:val="7AFB4D16"/>
    <w:rsid w:val="7B2A3852"/>
    <w:rsid w:val="7B4004BF"/>
    <w:rsid w:val="7B673E15"/>
    <w:rsid w:val="7B851222"/>
    <w:rsid w:val="7B9F061D"/>
    <w:rsid w:val="7C52031C"/>
    <w:rsid w:val="7C8A7395"/>
    <w:rsid w:val="7CA83501"/>
    <w:rsid w:val="7D9F4904"/>
    <w:rsid w:val="7DCF4ABD"/>
    <w:rsid w:val="7E584AB3"/>
    <w:rsid w:val="7E6B5FBE"/>
    <w:rsid w:val="7E9417F3"/>
    <w:rsid w:val="7FA77557"/>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uppressAutoHyphens/>
      <w:spacing w:after="120"/>
    </w:pPr>
    <w:rPr>
      <w:kern w:val="1"/>
      <w:szCs w:val="20"/>
      <w:lang w:eastAsia="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4"/>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5285</Words>
  <Characters>5459</Characters>
  <Lines>0</Lines>
  <Paragraphs>0</Paragraphs>
  <TotalTime>15</TotalTime>
  <ScaleCrop>false</ScaleCrop>
  <LinksUpToDate>false</LinksUpToDate>
  <CharactersWithSpaces>6276</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春biubiu</cp:lastModifiedBy>
  <cp:lastPrinted>2023-06-09T07:40:00Z</cp:lastPrinted>
  <dcterms:modified xsi:type="dcterms:W3CDTF">2024-05-16T02:27:24Z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commondata">
    <vt:lpwstr>eyJoZGlkIjoiOGE0YWM2YTgzNDZmMDI4NzlmYmU4NWQ2ZDE5YmFmY2UifQ==</vt:lpwstr>
  </property>
  <property fmtid="{D5CDD505-2E9C-101B-9397-08002B2CF9AE}" pid="4" name="ICV">
    <vt:lpwstr>FAB79CC1D1794AE78958CAC0EC200D83_13</vt:lpwstr>
  </property>
</Properties>
</file>