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000000"/>
          <w:sz w:val="24"/>
          <w:u w:val="single"/>
          <w:lang w:val="en-US" w:eastAsia="zh-CN"/>
        </w:rPr>
        <w:t>花襄·里项目6月零星材料采购</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1"/>
        <w:tblW w:w="9221"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21" w:type="dxa"/>
            <w:gridSpan w:val="4"/>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bCs w:val="0"/>
                <w:color w:val="auto"/>
                <w:szCs w:val="21"/>
              </w:rPr>
              <w:t>项目名称：</w:t>
            </w:r>
            <w:r>
              <w:rPr>
                <w:rFonts w:hint="eastAsia" w:ascii="宋体" w:hAnsi="宋体"/>
                <w:color w:val="auto"/>
                <w:sz w:val="24"/>
                <w:u w:val="single"/>
                <w:lang w:val="en-US" w:eastAsia="zh-CN"/>
              </w:rPr>
              <w:t>花襄·里项目6月零星材料采购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21" w:type="dxa"/>
            <w:gridSpan w:val="4"/>
            <w:noWrap w:val="0"/>
            <w:vAlign w:val="top"/>
          </w:tcPr>
          <w:p>
            <w:pPr>
              <w:spacing w:line="500" w:lineRule="exact"/>
              <w:rPr>
                <w:rFonts w:ascii="宋体" w:hAnsi="宋体"/>
                <w:b w:val="0"/>
                <w:bCs/>
                <w:color w:val="auto"/>
                <w:szCs w:val="21"/>
              </w:rPr>
            </w:pPr>
            <w:r>
              <w:rPr>
                <w:rFonts w:hint="eastAsia" w:ascii="宋体" w:hAnsi="宋体"/>
                <w:b/>
                <w:bCs w:val="0"/>
                <w:color w:val="auto"/>
                <w:szCs w:val="21"/>
                <w:lang w:val="en-US" w:eastAsia="zh-CN"/>
              </w:rPr>
              <w:t>采购人</w:t>
            </w:r>
            <w:r>
              <w:rPr>
                <w:rFonts w:hint="eastAsia" w:ascii="宋体" w:hAnsi="宋体"/>
                <w:b/>
                <w:bCs w:val="0"/>
                <w:color w:val="auto"/>
                <w:szCs w:val="21"/>
              </w:rPr>
              <w:t>名称：</w:t>
            </w:r>
            <w:r>
              <w:rPr>
                <w:rFonts w:hint="eastAsia" w:ascii="宋体" w:hAnsi="宋体"/>
                <w:b/>
                <w:bCs w:val="0"/>
                <w:color w:val="auto"/>
                <w:szCs w:val="21"/>
                <w:lang w:eastAsia="zh-CN"/>
              </w:rPr>
              <w:t>雅安城投建筑工程有限公司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rPr>
              <w:t>联系人</w:t>
            </w:r>
            <w:r>
              <w:rPr>
                <w:rFonts w:hint="eastAsia" w:ascii="宋体" w:hAnsi="宋体"/>
                <w:b/>
                <w:bCs w:val="0"/>
                <w:color w:val="auto"/>
                <w:szCs w:val="21"/>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val="0"/>
                <w:bCs/>
                <w:color w:val="auto"/>
                <w:szCs w:val="21"/>
                <w:lang w:val="en-US" w:eastAsia="zh-CN"/>
              </w:rPr>
              <w:t>杨女士</w:t>
            </w:r>
          </w:p>
        </w:tc>
        <w:tc>
          <w:tcPr>
            <w:tcW w:w="1552" w:type="dxa"/>
            <w:tcBorders>
              <w:bottom w:val="single" w:color="auto" w:sz="4" w:space="0"/>
            </w:tcBorders>
            <w:noWrap w:val="0"/>
            <w:vAlign w:val="top"/>
          </w:tcPr>
          <w:p>
            <w:pPr>
              <w:spacing w:line="500" w:lineRule="exact"/>
              <w:rPr>
                <w:rFonts w:ascii="宋体" w:hAnsi="宋体"/>
                <w:b w:val="0"/>
                <w:bCs/>
                <w:color w:val="auto"/>
                <w:szCs w:val="21"/>
              </w:rPr>
            </w:pPr>
            <w:r>
              <w:rPr>
                <w:rFonts w:hint="eastAsia" w:ascii="宋体" w:hAnsi="宋体"/>
                <w:b/>
                <w:bCs w:val="0"/>
                <w:color w:val="auto"/>
                <w:szCs w:val="21"/>
              </w:rPr>
              <w:t>联系方式</w:t>
            </w:r>
          </w:p>
        </w:tc>
        <w:tc>
          <w:tcPr>
            <w:tcW w:w="3760" w:type="dxa"/>
            <w:tcBorders>
              <w:bottom w:val="single" w:color="auto" w:sz="4" w:space="0"/>
            </w:tcBorders>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val="0"/>
                <w:bCs/>
                <w:color w:val="auto"/>
                <w:szCs w:val="21"/>
                <w:lang w:val="en-US" w:eastAsia="zh-CN"/>
              </w:rPr>
              <w:t>1840288</w:t>
            </w:r>
            <w:bookmarkStart w:id="14" w:name="_GoBack"/>
            <w:bookmarkEnd w:id="14"/>
            <w:r>
              <w:rPr>
                <w:rFonts w:hint="eastAsia" w:ascii="宋体" w:hAnsi="宋体"/>
                <w:b w:val="0"/>
                <w:bCs/>
                <w:color w:val="auto"/>
                <w:szCs w:val="21"/>
                <w:lang w:val="en-US" w:eastAsia="zh-CN"/>
              </w:rPr>
              <w:t>9301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项目简介</w:t>
            </w:r>
          </w:p>
        </w:tc>
        <w:tc>
          <w:tcPr>
            <w:tcW w:w="7886" w:type="dxa"/>
            <w:gridSpan w:val="3"/>
            <w:tcBorders>
              <w:bottom w:val="single" w:color="auto" w:sz="4" w:space="0"/>
            </w:tcBorders>
            <w:noWrap w:val="0"/>
            <w:vAlign w:val="top"/>
          </w:tcPr>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eastAsia="zh-CN"/>
              </w:rPr>
              <w:t>项目名称：</w:t>
            </w:r>
            <w:r>
              <w:rPr>
                <w:rFonts w:hint="eastAsia" w:ascii="宋体" w:hAnsi="宋体"/>
                <w:color w:val="auto"/>
                <w:sz w:val="24"/>
                <w:u w:val="single"/>
                <w:lang w:val="en-US" w:eastAsia="zh-CN"/>
              </w:rPr>
              <w:t>花襄·里项目</w:t>
            </w:r>
            <w:r>
              <w:rPr>
                <w:rFonts w:hint="eastAsia" w:ascii="宋体" w:hAnsi="宋体"/>
                <w:b w:val="0"/>
                <w:bCs/>
                <w:color w:val="auto"/>
                <w:szCs w:val="21"/>
                <w:lang w:val="en-US" w:eastAsia="zh-CN"/>
              </w:rPr>
              <w:t>，</w:t>
            </w:r>
          </w:p>
          <w:p>
            <w:pPr>
              <w:spacing w:line="500" w:lineRule="exact"/>
              <w:rPr>
                <w:rFonts w:hint="default" w:ascii="宋体" w:hAnsi="宋体"/>
                <w:b w:val="0"/>
                <w:bCs/>
                <w:color w:val="auto"/>
                <w:szCs w:val="21"/>
                <w:lang w:val="en-US"/>
              </w:rPr>
            </w:pPr>
            <w:r>
              <w:rPr>
                <w:rFonts w:hint="eastAsia" w:ascii="宋体" w:hAnsi="宋体"/>
                <w:b w:val="0"/>
                <w:bCs/>
                <w:color w:val="auto"/>
                <w:szCs w:val="21"/>
                <w:lang w:val="en-US" w:eastAsia="zh-CN"/>
              </w:rPr>
              <w:t>项目地址：雅安市汉源县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1335" w:type="dxa"/>
            <w:noWrap w:val="0"/>
            <w:vAlign w:val="center"/>
          </w:tcPr>
          <w:p>
            <w:pPr>
              <w:spacing w:line="500" w:lineRule="exact"/>
              <w:rPr>
                <w:rFonts w:hint="eastAsia" w:ascii="宋体" w:hAnsi="宋体"/>
                <w:b/>
                <w:bCs w:val="0"/>
                <w:color w:val="auto"/>
                <w:szCs w:val="21"/>
                <w:lang w:eastAsia="zh-CN"/>
              </w:rPr>
            </w:pPr>
            <w:r>
              <w:rPr>
                <w:rFonts w:hint="eastAsia" w:ascii="宋体" w:hAnsi="宋体"/>
                <w:b/>
                <w:bCs w:val="0"/>
                <w:color w:val="auto"/>
                <w:szCs w:val="21"/>
                <w:lang w:val="en-US" w:eastAsia="zh-CN"/>
              </w:rPr>
              <w:t>采购</w:t>
            </w:r>
            <w:r>
              <w:rPr>
                <w:rFonts w:hint="eastAsia" w:ascii="宋体" w:hAnsi="宋体"/>
                <w:b/>
                <w:bCs w:val="0"/>
                <w:color w:val="auto"/>
                <w:szCs w:val="21"/>
              </w:rPr>
              <w:t>范围、要求描述</w:t>
            </w:r>
          </w:p>
        </w:tc>
        <w:tc>
          <w:tcPr>
            <w:tcW w:w="7886" w:type="dxa"/>
            <w:gridSpan w:val="3"/>
            <w:tcBorders>
              <w:bottom w:val="single" w:color="auto" w:sz="4" w:space="0"/>
            </w:tcBorders>
            <w:noWrap w:val="0"/>
            <w:vAlign w:val="top"/>
          </w:tcPr>
          <w:p>
            <w:pPr>
              <w:spacing w:line="500" w:lineRule="exact"/>
              <w:jc w:val="left"/>
              <w:rPr>
                <w:rFonts w:hint="eastAsia" w:ascii="宋体" w:hAnsi="宋体"/>
                <w:b w:val="0"/>
                <w:bCs/>
                <w:color w:val="auto"/>
                <w:szCs w:val="21"/>
              </w:rPr>
            </w:pPr>
            <w:r>
              <w:rPr>
                <w:rFonts w:hint="eastAsia" w:ascii="宋体" w:hAnsi="宋体"/>
                <w:b w:val="0"/>
                <w:bCs/>
                <w:color w:val="auto"/>
                <w:szCs w:val="21"/>
                <w:lang w:eastAsia="zh-CN"/>
              </w:rPr>
              <w:t>清单要求。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240" w:lineRule="auto"/>
              <w:jc w:val="center"/>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工期、质量要求</w:t>
            </w:r>
          </w:p>
        </w:tc>
        <w:tc>
          <w:tcPr>
            <w:tcW w:w="7886" w:type="dxa"/>
            <w:gridSpan w:val="3"/>
            <w:tcBorders>
              <w:top w:val="single" w:color="auto" w:sz="4" w:space="0"/>
            </w:tcBorders>
            <w:noWrap w:val="0"/>
            <w:vAlign w:val="top"/>
          </w:tcPr>
          <w:p>
            <w:pPr>
              <w:numPr>
                <w:ilvl w:val="0"/>
                <w:numId w:val="2"/>
              </w:numPr>
              <w:spacing w:line="240" w:lineRule="auto"/>
              <w:rPr>
                <w:rFonts w:hint="eastAsia"/>
                <w:color w:val="auto"/>
                <w:lang w:val="en-US" w:eastAsia="zh-CN"/>
              </w:rPr>
            </w:pPr>
            <w:r>
              <w:rPr>
                <w:rFonts w:hint="eastAsia"/>
                <w:color w:val="auto"/>
                <w:lang w:val="en-US" w:eastAsia="zh-CN"/>
              </w:rPr>
              <w:t>工期：</w:t>
            </w:r>
            <w:r>
              <w:rPr>
                <w:rFonts w:hint="eastAsia" w:ascii="宋体" w:hAnsi="宋体"/>
                <w:b w:val="0"/>
                <w:bCs/>
                <w:color w:val="auto"/>
                <w:szCs w:val="21"/>
                <w:lang w:val="en-US" w:eastAsia="zh-CN"/>
              </w:rPr>
              <w:t>30天</w:t>
            </w:r>
            <w:r>
              <w:rPr>
                <w:rFonts w:hint="eastAsia" w:ascii="宋体" w:hAnsi="宋体"/>
                <w:b w:val="0"/>
                <w:bCs/>
                <w:color w:val="auto"/>
                <w:szCs w:val="21"/>
                <w:lang w:val="en-US" w:eastAsia="zh-CN"/>
              </w:rPr>
              <w:t>，以采购人通知时间为准。</w:t>
            </w:r>
          </w:p>
          <w:p>
            <w:pPr>
              <w:pStyle w:val="4"/>
              <w:numPr>
                <w:ilvl w:val="0"/>
                <w:numId w:val="2"/>
              </w:numPr>
              <w:spacing w:line="240" w:lineRule="auto"/>
              <w:rPr>
                <w:rFonts w:hint="default"/>
                <w:color w:val="auto"/>
                <w:lang w:val="en-US" w:eastAsia="zh-CN"/>
              </w:rPr>
            </w:pPr>
            <w:r>
              <w:rPr>
                <w:rFonts w:hint="eastAsia"/>
                <w:color w:val="auto"/>
                <w:lang w:val="en-US" w:eastAsia="zh-CN"/>
              </w:rPr>
              <w:t>质量要求：</w:t>
            </w:r>
            <w:r>
              <w:rPr>
                <w:rFonts w:hint="eastAsia" w:ascii="宋体" w:hAnsi="宋体"/>
                <w:b w:val="0"/>
                <w:bCs/>
                <w:color w:val="auto"/>
                <w:szCs w:val="21"/>
                <w:lang w:val="en-US" w:eastAsia="zh-CN"/>
              </w:rPr>
              <w:t>符合国家现行质量标准和行业标准。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7" w:hRule="atLeast"/>
        </w:trPr>
        <w:tc>
          <w:tcPr>
            <w:tcW w:w="1335" w:type="dxa"/>
            <w:noWrap w:val="0"/>
            <w:vAlign w:val="center"/>
          </w:tcPr>
          <w:p>
            <w:pPr>
              <w:spacing w:line="500" w:lineRule="exact"/>
              <w:jc w:val="center"/>
              <w:rPr>
                <w:rFonts w:hint="eastAsia" w:ascii="宋体" w:hAnsi="宋体"/>
                <w:b/>
                <w:bCs w:val="0"/>
                <w:color w:val="auto"/>
                <w:szCs w:val="21"/>
              </w:rPr>
            </w:pPr>
            <w:r>
              <w:rPr>
                <w:rFonts w:hint="eastAsia" w:ascii="宋体" w:hAnsi="宋体"/>
                <w:b/>
                <w:bCs w:val="0"/>
                <w:color w:val="auto"/>
                <w:szCs w:val="21"/>
                <w:lang w:val="en-US" w:eastAsia="zh-CN"/>
              </w:rPr>
              <w:t>资质及</w:t>
            </w:r>
            <w:r>
              <w:rPr>
                <w:rFonts w:hint="eastAsia" w:ascii="宋体" w:hAnsi="宋体"/>
                <w:b/>
                <w:bCs w:val="0"/>
                <w:color w:val="auto"/>
                <w:szCs w:val="21"/>
              </w:rPr>
              <w:t>资格要求</w:t>
            </w:r>
          </w:p>
        </w:tc>
        <w:tc>
          <w:tcPr>
            <w:tcW w:w="7886" w:type="dxa"/>
            <w:gridSpan w:val="3"/>
            <w:noWrap w:val="0"/>
            <w:vAlign w:val="top"/>
          </w:tcPr>
          <w:p>
            <w:pPr>
              <w:numPr>
                <w:ilvl w:val="0"/>
                <w:numId w:val="3"/>
              </w:numPr>
              <w:spacing w:line="240" w:lineRule="auto"/>
              <w:jc w:val="left"/>
              <w:rPr>
                <w:rFonts w:hint="eastAsia"/>
                <w:color w:val="auto"/>
                <w:lang w:val="en-US" w:eastAsia="zh-CN"/>
              </w:rPr>
            </w:pPr>
            <w:r>
              <w:rPr>
                <w:rFonts w:hint="eastAsia"/>
                <w:color w:val="auto"/>
              </w:rPr>
              <w:t>资质</w:t>
            </w:r>
            <w:r>
              <w:rPr>
                <w:rFonts w:hint="eastAsia"/>
                <w:color w:val="auto"/>
                <w:lang w:val="en-US" w:eastAsia="zh-CN"/>
              </w:rPr>
              <w:t>要求</w:t>
            </w:r>
            <w:r>
              <w:rPr>
                <w:rFonts w:hint="eastAsia"/>
                <w:color w:val="auto"/>
              </w:rPr>
              <w:t>：</w:t>
            </w:r>
            <w:r>
              <w:rPr>
                <w:rFonts w:hint="eastAsia"/>
                <w:color w:val="auto"/>
                <w:lang w:val="en-US" w:eastAsia="zh-CN"/>
              </w:rPr>
              <w:t>持有经工商行政管理部门登记注册的合法有效营业执照，并具有完成本次采购的供货或服务能力。</w:t>
            </w:r>
          </w:p>
          <w:p>
            <w:pPr>
              <w:numPr>
                <w:ilvl w:val="0"/>
                <w:numId w:val="0"/>
              </w:numPr>
              <w:spacing w:line="240" w:lineRule="auto"/>
              <w:jc w:val="left"/>
              <w:rPr>
                <w:rFonts w:hint="default"/>
                <w:color w:val="auto"/>
                <w:lang w:val="en-US" w:eastAsia="zh-CN"/>
              </w:rPr>
            </w:pPr>
            <w:r>
              <w:rPr>
                <w:rFonts w:hint="eastAsia"/>
                <w:color w:val="auto"/>
                <w:lang w:val="en-US" w:eastAsia="zh-CN"/>
              </w:rPr>
              <w:t>（二）资格要求</w:t>
            </w:r>
            <w:r>
              <w:rPr>
                <w:rFonts w:hint="eastAsia"/>
                <w:b/>
                <w:bCs/>
                <w:color w:val="auto"/>
                <w:lang w:val="en-US" w:eastAsia="zh-CN"/>
              </w:rPr>
              <w:t>（应在竞价文件中进行响应，可统一以承诺函形式体现）</w:t>
            </w:r>
          </w:p>
          <w:p>
            <w:pPr>
              <w:spacing w:line="240" w:lineRule="auto"/>
              <w:jc w:val="left"/>
              <w:rPr>
                <w:rFonts w:hint="eastAsia"/>
                <w:color w:val="auto"/>
                <w:lang w:eastAsia="zh-CN"/>
              </w:rPr>
            </w:pPr>
            <w:r>
              <w:rPr>
                <w:rFonts w:hint="eastAsia"/>
                <w:color w:val="auto"/>
              </w:rPr>
              <w:t>（1）具有独立承担民事责任的能力</w:t>
            </w:r>
            <w:r>
              <w:rPr>
                <w:rFonts w:hint="eastAsia"/>
                <w:color w:val="auto"/>
                <w:lang w:eastAsia="zh-CN"/>
              </w:rPr>
              <w:t>；</w:t>
            </w:r>
          </w:p>
          <w:p>
            <w:pPr>
              <w:spacing w:line="240" w:lineRule="auto"/>
              <w:jc w:val="left"/>
              <w:rPr>
                <w:rFonts w:hint="eastAsia"/>
                <w:color w:val="auto"/>
              </w:rPr>
            </w:pPr>
            <w:r>
              <w:rPr>
                <w:rFonts w:hint="eastAsia"/>
                <w:color w:val="auto"/>
              </w:rPr>
              <w:t>（2）具有良好的商业信誉；</w:t>
            </w:r>
          </w:p>
          <w:p>
            <w:pPr>
              <w:spacing w:line="240" w:lineRule="auto"/>
              <w:jc w:val="left"/>
              <w:rPr>
                <w:rFonts w:hint="eastAsia"/>
                <w:color w:val="auto"/>
              </w:rPr>
            </w:pPr>
            <w:r>
              <w:rPr>
                <w:rFonts w:hint="eastAsia"/>
                <w:color w:val="auto"/>
              </w:rPr>
              <w:t>（3）具有履行合同所必需的</w:t>
            </w:r>
            <w:r>
              <w:rPr>
                <w:rFonts w:hint="eastAsia"/>
                <w:color w:val="auto"/>
                <w:lang w:val="en-US" w:eastAsia="zh-CN"/>
              </w:rPr>
              <w:t>条件和</w:t>
            </w:r>
            <w:r>
              <w:rPr>
                <w:rFonts w:hint="eastAsia"/>
                <w:color w:val="auto"/>
              </w:rPr>
              <w:t>能力；</w:t>
            </w:r>
          </w:p>
          <w:p>
            <w:pPr>
              <w:spacing w:line="240" w:lineRule="auto"/>
              <w:jc w:val="left"/>
              <w:rPr>
                <w:rFonts w:hint="eastAsia"/>
                <w:color w:val="auto"/>
              </w:rPr>
            </w:pPr>
            <w:r>
              <w:rPr>
                <w:rFonts w:hint="eastAsia"/>
                <w:color w:val="auto"/>
                <w:lang w:eastAsia="zh-CN"/>
              </w:rPr>
              <w:t>（</w:t>
            </w:r>
            <w:r>
              <w:rPr>
                <w:rFonts w:hint="eastAsia"/>
                <w:color w:val="auto"/>
              </w:rPr>
              <w:t>4）有依法缴纳税收和社会保障资金的良好记录；</w:t>
            </w:r>
          </w:p>
          <w:p>
            <w:pPr>
              <w:spacing w:line="240" w:lineRule="auto"/>
              <w:jc w:val="left"/>
              <w:rPr>
                <w:rFonts w:hint="eastAsia"/>
                <w:color w:val="auto"/>
                <w:lang w:eastAsia="zh-CN"/>
              </w:rPr>
            </w:pPr>
            <w:r>
              <w:rPr>
                <w:rFonts w:hint="eastAsia"/>
                <w:color w:val="auto"/>
                <w:lang w:eastAsia="zh-CN"/>
              </w:rPr>
              <w:t>（</w:t>
            </w:r>
            <w:r>
              <w:rPr>
                <w:rFonts w:hint="eastAsia"/>
                <w:color w:val="auto"/>
                <w:lang w:val="en-US" w:eastAsia="zh-CN"/>
              </w:rPr>
              <w:t>5</w:t>
            </w:r>
            <w:r>
              <w:rPr>
                <w:rFonts w:hint="eastAsia"/>
                <w:color w:val="auto"/>
                <w:lang w:eastAsia="zh-CN"/>
              </w:rPr>
              <w:t>）参加本次竞价前三年内，在经营活动中没有重大违法记录；</w:t>
            </w:r>
          </w:p>
          <w:p>
            <w:pPr>
              <w:spacing w:line="240" w:lineRule="auto"/>
              <w:jc w:val="left"/>
              <w:rPr>
                <w:rFonts w:hint="eastAsia"/>
                <w:color w:val="auto"/>
                <w:lang w:eastAsia="zh-CN"/>
              </w:rPr>
            </w:pPr>
            <w:r>
              <w:rPr>
                <w:rFonts w:hint="eastAsia"/>
                <w:color w:val="auto"/>
              </w:rPr>
              <w:t>（</w:t>
            </w:r>
            <w:r>
              <w:rPr>
                <w:rFonts w:hint="eastAsia"/>
                <w:color w:val="auto"/>
                <w:lang w:val="en-US" w:eastAsia="zh-CN"/>
              </w:rPr>
              <w:t>6</w:t>
            </w:r>
            <w:r>
              <w:rPr>
                <w:rFonts w:hint="eastAsia"/>
                <w:color w:val="auto"/>
              </w:rPr>
              <w:t>）</w:t>
            </w:r>
            <w:r>
              <w:rPr>
                <w:rFonts w:hint="eastAsia"/>
                <w:color w:val="auto"/>
                <w:lang w:eastAsia="zh-CN"/>
              </w:rPr>
              <w:t>递交的投标文件所有材料均真实</w:t>
            </w:r>
            <w:r>
              <w:rPr>
                <w:rFonts w:hint="eastAsia"/>
                <w:color w:val="auto"/>
                <w:lang w:val="en-US" w:eastAsia="zh-CN"/>
              </w:rPr>
              <w:t>有效，且</w:t>
            </w:r>
            <w:r>
              <w:rPr>
                <w:rFonts w:hint="eastAsia"/>
                <w:color w:val="auto"/>
                <w:lang w:eastAsia="zh-CN"/>
              </w:rPr>
              <w:t>与本次竞价其他投标人无关联；</w:t>
            </w:r>
          </w:p>
          <w:p>
            <w:pPr>
              <w:spacing w:line="240" w:lineRule="auto"/>
              <w:jc w:val="left"/>
              <w:rPr>
                <w:rFonts w:hint="default"/>
                <w:color w:val="auto"/>
                <w:lang w:val="en-US" w:eastAsia="zh-CN"/>
              </w:rPr>
            </w:pPr>
            <w:r>
              <w:rPr>
                <w:rFonts w:hint="eastAsia"/>
                <w:color w:val="auto"/>
                <w:lang w:eastAsia="zh-CN"/>
              </w:rPr>
              <w:t>（</w:t>
            </w:r>
            <w:r>
              <w:rPr>
                <w:rFonts w:hint="eastAsia"/>
                <w:color w:val="auto"/>
                <w:lang w:val="en-US" w:eastAsia="zh-CN"/>
              </w:rPr>
              <w:t>7</w:t>
            </w:r>
            <w:r>
              <w:rPr>
                <w:rFonts w:hint="eastAsia"/>
                <w:color w:val="auto"/>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335" w:type="dxa"/>
            <w:noWrap w:val="0"/>
            <w:vAlign w:val="top"/>
          </w:tcPr>
          <w:p>
            <w:pPr>
              <w:spacing w:line="240" w:lineRule="auto"/>
              <w:rPr>
                <w:rFonts w:hint="eastAsia" w:ascii="宋体" w:hAnsi="宋体" w:eastAsia="宋体" w:cs="Times New Roman"/>
                <w:b/>
                <w:bCs w:val="0"/>
                <w:color w:val="auto"/>
                <w:kern w:val="2"/>
                <w:sz w:val="21"/>
                <w:szCs w:val="21"/>
                <w:lang w:val="en-US" w:eastAsia="zh-CN" w:bidi="ar-SA"/>
              </w:rPr>
            </w:pPr>
            <w:r>
              <w:rPr>
                <w:rFonts w:hint="eastAsia" w:ascii="宋体" w:hAnsi="宋体"/>
                <w:b/>
                <w:bCs w:val="0"/>
                <w:color w:val="auto"/>
                <w:szCs w:val="21"/>
                <w:lang w:val="en-US" w:eastAsia="zh-CN"/>
              </w:rPr>
              <w:t>发布</w:t>
            </w:r>
            <w:r>
              <w:rPr>
                <w:rFonts w:hint="eastAsia" w:ascii="宋体" w:hAnsi="宋体"/>
                <w:b/>
                <w:bCs w:val="0"/>
                <w:color w:val="auto"/>
                <w:szCs w:val="21"/>
                <w:lang w:eastAsia="zh-CN"/>
              </w:rPr>
              <w:t>竞价</w:t>
            </w:r>
            <w:r>
              <w:rPr>
                <w:rFonts w:hint="eastAsia" w:ascii="宋体" w:hAnsi="宋体"/>
                <w:b/>
                <w:bCs w:val="0"/>
                <w:color w:val="auto"/>
                <w:szCs w:val="21"/>
              </w:rPr>
              <w:t>函时间</w:t>
            </w:r>
          </w:p>
        </w:tc>
        <w:tc>
          <w:tcPr>
            <w:tcW w:w="7886" w:type="dxa"/>
            <w:gridSpan w:val="3"/>
            <w:noWrap w:val="0"/>
            <w:vAlign w:val="top"/>
          </w:tcPr>
          <w:p>
            <w:pPr>
              <w:spacing w:line="240" w:lineRule="auto"/>
              <w:jc w:val="both"/>
              <w:rPr>
                <w:rFonts w:hint="default" w:ascii="Times New Roman" w:hAnsi="Times New Roman" w:eastAsia="宋体" w:cs="Times New Roman"/>
                <w:color w:val="auto"/>
                <w:kern w:val="2"/>
                <w:sz w:val="21"/>
                <w:szCs w:val="24"/>
                <w:lang w:val="en-US" w:eastAsia="zh-CN" w:bidi="ar-SA"/>
              </w:rPr>
            </w:pPr>
            <w:r>
              <w:rPr>
                <w:rFonts w:hint="eastAsia" w:ascii="宋体" w:hAnsi="宋体"/>
                <w:b/>
                <w:bCs w:val="0"/>
                <w:color w:val="auto"/>
                <w:szCs w:val="21"/>
              </w:rPr>
              <w:t>时间：</w:t>
            </w:r>
            <w:r>
              <w:rPr>
                <w:rFonts w:hint="eastAsia" w:ascii="宋体" w:hAnsi="宋体"/>
                <w:b/>
                <w:bCs w:val="0"/>
                <w:color w:val="auto"/>
                <w:szCs w:val="21"/>
                <w:lang w:val="en-US" w:eastAsia="zh-CN"/>
              </w:rPr>
              <w:t>2024</w:t>
            </w:r>
            <w:r>
              <w:rPr>
                <w:rFonts w:hint="eastAsia" w:ascii="宋体" w:hAnsi="宋体"/>
                <w:b/>
                <w:bCs w:val="0"/>
                <w:color w:val="auto"/>
                <w:szCs w:val="21"/>
              </w:rPr>
              <w:t>年</w:t>
            </w:r>
            <w:r>
              <w:rPr>
                <w:rFonts w:hint="eastAsia" w:ascii="宋体" w:hAnsi="宋体"/>
                <w:b/>
                <w:bCs w:val="0"/>
                <w:color w:val="auto"/>
                <w:szCs w:val="21"/>
                <w:lang w:val="en-US" w:eastAsia="zh-CN"/>
              </w:rPr>
              <w:t>5</w:t>
            </w:r>
            <w:r>
              <w:rPr>
                <w:rFonts w:hint="eastAsia" w:ascii="宋体" w:hAnsi="宋体"/>
                <w:b/>
                <w:bCs w:val="0"/>
                <w:color w:val="auto"/>
                <w:szCs w:val="21"/>
              </w:rPr>
              <w:t>月</w:t>
            </w:r>
            <w:r>
              <w:rPr>
                <w:rFonts w:hint="eastAsia" w:ascii="宋体" w:hAnsi="宋体"/>
                <w:b/>
                <w:bCs w:val="0"/>
                <w:color w:val="auto"/>
                <w:szCs w:val="21"/>
                <w:lang w:val="en-US" w:eastAsia="zh-CN"/>
              </w:rPr>
              <w:t>30</w:t>
            </w:r>
            <w:r>
              <w:rPr>
                <w:rFonts w:hint="eastAsia" w:ascii="宋体" w:hAnsi="宋体"/>
                <w:b/>
                <w:bCs w:val="0"/>
                <w:color w:val="auto"/>
                <w:szCs w:val="21"/>
              </w:rPr>
              <w:t>日—</w:t>
            </w:r>
            <w:r>
              <w:rPr>
                <w:rFonts w:hint="eastAsia" w:ascii="宋体" w:hAnsi="宋体"/>
                <w:b/>
                <w:bCs w:val="0"/>
                <w:color w:val="auto"/>
                <w:szCs w:val="21"/>
                <w:lang w:val="en-US" w:eastAsia="zh-CN"/>
              </w:rPr>
              <w:t>2024</w:t>
            </w:r>
            <w:r>
              <w:rPr>
                <w:rFonts w:hint="eastAsia" w:ascii="宋体" w:hAnsi="宋体"/>
                <w:b/>
                <w:bCs w:val="0"/>
                <w:color w:val="auto"/>
                <w:szCs w:val="21"/>
              </w:rPr>
              <w:t>年</w:t>
            </w:r>
            <w:r>
              <w:rPr>
                <w:rFonts w:hint="eastAsia" w:ascii="宋体" w:hAnsi="宋体"/>
                <w:b/>
                <w:bCs w:val="0"/>
                <w:color w:val="auto"/>
                <w:szCs w:val="21"/>
                <w:lang w:val="en-US" w:eastAsia="zh-CN"/>
              </w:rPr>
              <w:t>6</w:t>
            </w:r>
            <w:r>
              <w:rPr>
                <w:rFonts w:hint="eastAsia" w:ascii="宋体" w:hAnsi="宋体"/>
                <w:b/>
                <w:bCs w:val="0"/>
                <w:color w:val="auto"/>
                <w:szCs w:val="21"/>
              </w:rPr>
              <w:t>月</w:t>
            </w:r>
            <w:r>
              <w:rPr>
                <w:rFonts w:hint="eastAsia" w:ascii="宋体" w:hAnsi="宋体"/>
                <w:b/>
                <w:bCs w:val="0"/>
                <w:color w:val="auto"/>
                <w:szCs w:val="21"/>
                <w:lang w:val="en-US" w:eastAsia="zh-CN"/>
              </w:rPr>
              <w:t>2</w:t>
            </w:r>
            <w:r>
              <w:rPr>
                <w:rFonts w:hint="eastAsia" w:ascii="宋体" w:hAnsi="宋体"/>
                <w:b/>
                <w:bCs w:val="0"/>
                <w:color w:val="auto"/>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335" w:type="dxa"/>
            <w:noWrap w:val="0"/>
            <w:vAlign w:val="top"/>
          </w:tcPr>
          <w:p>
            <w:pPr>
              <w:spacing w:line="500" w:lineRule="exact"/>
              <w:rPr>
                <w:rFonts w:ascii="宋体" w:hAnsi="宋体"/>
                <w:b/>
                <w:bCs w:val="0"/>
                <w:color w:val="auto"/>
                <w:szCs w:val="21"/>
              </w:rPr>
            </w:pPr>
          </w:p>
          <w:p>
            <w:pPr>
              <w:spacing w:line="500" w:lineRule="exact"/>
              <w:rPr>
                <w:rFonts w:ascii="宋体" w:hAnsi="宋体"/>
                <w:b/>
                <w:bCs w:val="0"/>
                <w:color w:val="auto"/>
                <w:szCs w:val="21"/>
              </w:rPr>
            </w:pPr>
            <w:r>
              <w:rPr>
                <w:rFonts w:hint="eastAsia" w:ascii="宋体" w:hAnsi="宋体"/>
                <w:b/>
                <w:bCs w:val="0"/>
                <w:color w:val="auto"/>
                <w:szCs w:val="21"/>
              </w:rPr>
              <w:t>报价要求</w:t>
            </w:r>
          </w:p>
        </w:tc>
        <w:tc>
          <w:tcPr>
            <w:tcW w:w="7886" w:type="dxa"/>
            <w:gridSpan w:val="3"/>
            <w:noWrap w:val="0"/>
            <w:vAlign w:val="top"/>
          </w:tcPr>
          <w:p>
            <w:pPr>
              <w:numPr>
                <w:ilvl w:val="0"/>
                <w:numId w:val="4"/>
              </w:numPr>
              <w:tabs>
                <w:tab w:val="left" w:pos="458"/>
                <w:tab w:val="clear" w:pos="312"/>
              </w:tabs>
              <w:ind w:firstLine="211" w:firstLineChars="100"/>
              <w:rPr>
                <w:rFonts w:hint="eastAsia" w:ascii="宋体" w:hAnsi="宋体" w:cs="宋体"/>
                <w:b/>
                <w:bCs/>
                <w:color w:val="auto"/>
                <w:sz w:val="21"/>
                <w:szCs w:val="21"/>
                <w:u w:val="none"/>
                <w:lang w:val="en-US" w:eastAsia="zh-CN"/>
              </w:rPr>
            </w:pPr>
            <w:r>
              <w:rPr>
                <w:rFonts w:hint="eastAsia" w:ascii="宋体" w:hAnsi="宋体" w:eastAsia="宋体" w:cs="宋体"/>
                <w:b/>
                <w:bCs/>
                <w:color w:val="auto"/>
                <w:sz w:val="21"/>
                <w:szCs w:val="21"/>
              </w:rPr>
              <w:t>最高限价（含税） ：</w:t>
            </w:r>
            <w:r>
              <w:rPr>
                <w:rFonts w:hint="eastAsia" w:ascii="宋体" w:hAnsi="宋体" w:eastAsia="宋体" w:cs="宋体"/>
                <w:b/>
                <w:bCs/>
                <w:color w:val="auto"/>
                <w:sz w:val="21"/>
                <w:szCs w:val="21"/>
                <w:u w:val="single"/>
                <w:lang w:val="en-US" w:eastAsia="zh-CN"/>
              </w:rPr>
              <w:t xml:space="preserve">459661.09元 </w:t>
            </w:r>
            <w:r>
              <w:rPr>
                <w:rFonts w:hint="eastAsia" w:ascii="宋体" w:hAnsi="宋体" w:cs="宋体"/>
                <w:b/>
                <w:bCs/>
                <w:color w:val="auto"/>
                <w:sz w:val="21"/>
                <w:szCs w:val="21"/>
                <w:u w:val="none"/>
                <w:lang w:val="en-US" w:eastAsia="zh-CN"/>
              </w:rPr>
              <w:t>，</w:t>
            </w:r>
          </w:p>
          <w:p>
            <w:pPr>
              <w:numPr>
                <w:ilvl w:val="0"/>
                <w:numId w:val="4"/>
              </w:numPr>
              <w:tabs>
                <w:tab w:val="left" w:pos="458"/>
                <w:tab w:val="clear" w:pos="312"/>
              </w:tabs>
              <w:ind w:firstLine="211" w:firstLineChars="100"/>
              <w:rPr>
                <w:rFonts w:ascii="宋体" w:hAnsi="宋体"/>
                <w:b/>
                <w:bCs w:val="0"/>
                <w:color w:val="auto"/>
                <w:szCs w:val="21"/>
              </w:rPr>
            </w:pPr>
            <w:r>
              <w:rPr>
                <w:rFonts w:hint="eastAsia" w:ascii="宋体" w:hAnsi="宋体"/>
                <w:b/>
                <w:bCs w:val="0"/>
                <w:color w:val="auto"/>
                <w:szCs w:val="21"/>
                <w:lang w:val="en-US" w:eastAsia="zh-CN"/>
              </w:rPr>
              <w:t>供应商</w:t>
            </w:r>
            <w:r>
              <w:rPr>
                <w:rFonts w:hint="eastAsia" w:ascii="宋体" w:hAnsi="宋体"/>
                <w:b/>
                <w:bCs w:val="0"/>
                <w:color w:val="auto"/>
                <w:szCs w:val="21"/>
              </w:rPr>
              <w:t>自主报价，</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最高限价及控制单价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，超过控制价将视为无效文件</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tabs>
                <w:tab w:val="left" w:pos="458"/>
              </w:tabs>
              <w:ind w:firstLine="210" w:firstLineChars="100"/>
              <w:rPr>
                <w:rFonts w:hint="default" w:ascii="宋体" w:hAnsi="宋体"/>
                <w:b/>
                <w:bCs w:val="0"/>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val="0"/>
                <w:bCs/>
                <w:color w:val="auto"/>
                <w:szCs w:val="21"/>
                <w:lang w:val="en-US" w:eastAsia="zh-CN"/>
              </w:rPr>
              <w:t>内容</w:t>
            </w:r>
            <w:r>
              <w:rPr>
                <w:rFonts w:hint="eastAsia" w:ascii="宋体" w:hAnsi="宋体"/>
                <w:b w:val="0"/>
                <w:bCs/>
                <w:color w:val="auto"/>
                <w:szCs w:val="21"/>
              </w:rPr>
              <w:t>：</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竞价响应函；2、报价函及采购清单；3、法定代表人身份证明或授权委托书；4、承诺函；5、供应商自 2022年 1 月 1 日以来至今签订的与本次采购内容有关且金额不低于36万的业绩（1、含 2022 年 1 月 1 日，以签订合同时间为准，2、须提供不少于1个合同，3、采购内容有关是指“建筑材料 ”，4、合同金额是指单个合同签订的金额，若合同未能体现金额的须提供相关结算资料证明）；</w:t>
            </w:r>
            <w:r>
              <w:rPr>
                <w:rFonts w:hint="eastAsia" w:ascii="宋体" w:hAnsi="宋体" w:cs="Times New Roman"/>
                <w:b/>
                <w:bCs w:val="0"/>
                <w:color w:val="auto"/>
                <w:szCs w:val="21"/>
                <w:lang w:val="en-US" w:eastAsia="zh-CN"/>
              </w:rPr>
              <w:t>6、竞价单位认为需要提交的其他文件。</w:t>
            </w:r>
          </w:p>
          <w:p>
            <w:pPr>
              <w:ind w:firstLine="211" w:firstLineChars="100"/>
              <w:rPr>
                <w:rFonts w:hint="default" w:ascii="宋体" w:hAnsi="宋体" w:eastAsia="宋体"/>
                <w:b w:val="0"/>
                <w:bCs/>
                <w:color w:val="auto"/>
                <w:szCs w:val="21"/>
                <w:lang w:val="en-US" w:eastAsia="zh-CN"/>
              </w:rPr>
            </w:pPr>
            <w:r>
              <w:rPr>
                <w:rFonts w:hint="eastAsia" w:ascii="宋体" w:hAnsi="宋体"/>
                <w:b/>
                <w:bCs w:val="0"/>
                <w:color w:val="auto"/>
                <w:szCs w:val="21"/>
                <w:lang w:val="en-US" w:eastAsia="zh-CN"/>
              </w:rPr>
              <w:t>上述报价函组成附件均须胶装成册后密封盖章，不得散页和未密封递交。（未按要求胶装密封的，采购人可以拒收竞价文件）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trPr>
        <w:tc>
          <w:tcPr>
            <w:tcW w:w="1335" w:type="dxa"/>
            <w:noWrap w:val="0"/>
            <w:vAlign w:val="top"/>
          </w:tcPr>
          <w:p>
            <w:pPr>
              <w:spacing w:line="500" w:lineRule="exact"/>
              <w:rPr>
                <w:rFonts w:hint="eastAsia" w:ascii="宋体" w:hAnsi="宋体"/>
                <w:b/>
                <w:bCs w:val="0"/>
                <w:color w:val="auto"/>
                <w:szCs w:val="21"/>
              </w:rPr>
            </w:pPr>
            <w:r>
              <w:rPr>
                <w:rFonts w:hint="eastAsia" w:ascii="宋体" w:hAnsi="宋体"/>
                <w:b/>
                <w:bCs w:val="0"/>
                <w:color w:val="auto"/>
                <w:szCs w:val="21"/>
                <w:lang w:val="en-US" w:eastAsia="zh-CN"/>
              </w:rPr>
              <w:t>中选确定方式</w:t>
            </w:r>
          </w:p>
        </w:tc>
        <w:tc>
          <w:tcPr>
            <w:tcW w:w="7886" w:type="dxa"/>
            <w:gridSpan w:val="3"/>
            <w:noWrap w:val="0"/>
            <w:vAlign w:val="top"/>
          </w:tcPr>
          <w:p>
            <w:pPr>
              <w:spacing w:line="240" w:lineRule="auto"/>
              <w:ind w:firstLine="210" w:firstLineChars="100"/>
              <w:rPr>
                <w:rFonts w:hint="eastAsia" w:ascii="宋体" w:hAnsi="宋体"/>
                <w:b w:val="0"/>
                <w:bCs/>
                <w:color w:val="auto"/>
                <w:szCs w:val="21"/>
              </w:rPr>
            </w:pPr>
            <w:r>
              <w:rPr>
                <w:rFonts w:hint="eastAsia" w:ascii="宋体" w:hAnsi="宋体"/>
                <w:b w:val="0"/>
                <w:bCs/>
                <w:color w:val="auto"/>
                <w:szCs w:val="21"/>
              </w:rPr>
              <w:t>采用经</w:t>
            </w:r>
            <w:r>
              <w:rPr>
                <w:rFonts w:hint="eastAsia" w:ascii="宋体" w:hAnsi="宋体"/>
                <w:b w:val="0"/>
                <w:bCs/>
                <w:color w:val="auto"/>
                <w:szCs w:val="21"/>
                <w:lang w:val="en-US" w:eastAsia="zh-CN"/>
              </w:rPr>
              <w:t>评审的最</w:t>
            </w:r>
            <w:r>
              <w:rPr>
                <w:rFonts w:hint="eastAsia" w:ascii="宋体" w:hAnsi="宋体"/>
                <w:b w:val="0"/>
                <w:bCs/>
                <w:color w:val="auto"/>
                <w:szCs w:val="21"/>
              </w:rPr>
              <w:t>低</w:t>
            </w:r>
            <w:r>
              <w:rPr>
                <w:rFonts w:hint="eastAsia" w:ascii="宋体" w:hAnsi="宋体"/>
                <w:b w:val="0"/>
                <w:bCs/>
                <w:color w:val="auto"/>
                <w:szCs w:val="21"/>
                <w:lang w:val="en-US" w:eastAsia="zh-CN"/>
              </w:rPr>
              <w:t>投标</w:t>
            </w:r>
            <w:r>
              <w:rPr>
                <w:rFonts w:hint="eastAsia" w:ascii="宋体" w:hAnsi="宋体"/>
                <w:b w:val="0"/>
                <w:bCs/>
                <w:color w:val="auto"/>
                <w:szCs w:val="21"/>
              </w:rPr>
              <w:t>价法。</w:t>
            </w:r>
            <w:r>
              <w:rPr>
                <w:rFonts w:hint="eastAsia" w:ascii="宋体" w:hAnsi="宋体"/>
                <w:b w:val="0"/>
                <w:bCs/>
                <w:color w:val="auto"/>
                <w:szCs w:val="21"/>
                <w:lang w:val="en-US" w:eastAsia="zh-CN"/>
              </w:rPr>
              <w:t>采购人对竞价人的不含税报价进行评比，确定前三名中选候选人并进行公示。在公示结束后由采购人自主确定最终中选人，达到优质采购的目的。评审时，若供应商U盘中的竞价文件电子版与纸质竞价文件不一致时，按照供应商提交的纸质竞价文件进行评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1335" w:type="dxa"/>
            <w:noWrap w:val="0"/>
            <w:vAlign w:val="top"/>
          </w:tcPr>
          <w:p>
            <w:pPr>
              <w:spacing w:line="500" w:lineRule="exact"/>
              <w:jc w:val="center"/>
              <w:rPr>
                <w:rFonts w:hint="default" w:ascii="宋体" w:hAnsi="宋体"/>
                <w:b/>
                <w:bCs w:val="0"/>
                <w:color w:val="auto"/>
                <w:szCs w:val="21"/>
                <w:lang w:val="en-US" w:eastAsia="zh-CN"/>
              </w:rPr>
            </w:pPr>
            <w:r>
              <w:rPr>
                <w:rFonts w:hint="eastAsia" w:ascii="宋体" w:hAnsi="宋体"/>
                <w:b/>
                <w:bCs w:val="0"/>
                <w:color w:val="auto"/>
                <w:szCs w:val="21"/>
                <w:lang w:val="en-US" w:eastAsia="zh-CN"/>
              </w:rPr>
              <w:t>报价说明</w:t>
            </w:r>
          </w:p>
        </w:tc>
        <w:tc>
          <w:tcPr>
            <w:tcW w:w="7886" w:type="dxa"/>
            <w:gridSpan w:val="3"/>
            <w:noWrap w:val="0"/>
            <w:vAlign w:val="top"/>
          </w:tcPr>
          <w:p>
            <w:pPr>
              <w:numPr>
                <w:ilvl w:val="0"/>
                <w:numId w:val="5"/>
              </w:numPr>
              <w:spacing w:line="240" w:lineRule="auto"/>
              <w:rPr>
                <w:rFonts w:hint="eastAsia" w:ascii="宋体" w:hAnsi="宋体"/>
                <w:b w:val="0"/>
                <w:bCs/>
                <w:color w:val="auto"/>
                <w:szCs w:val="21"/>
                <w:lang w:val="en-US" w:eastAsia="zh-CN"/>
              </w:rPr>
            </w:pPr>
            <w:r>
              <w:rPr>
                <w:rFonts w:hint="default" w:ascii="宋体" w:hAnsi="宋体"/>
                <w:b w:val="0"/>
                <w:bCs/>
                <w:color w:val="auto"/>
                <w:szCs w:val="21"/>
                <w:lang w:val="en-US" w:eastAsia="zh-CN"/>
              </w:rPr>
              <w:t>报价采用</w:t>
            </w:r>
            <w:r>
              <w:rPr>
                <w:rFonts w:hint="eastAsia" w:ascii="宋体" w:hAnsi="宋体"/>
                <w:b w:val="0"/>
                <w:bCs/>
                <w:color w:val="auto"/>
                <w:szCs w:val="21"/>
                <w:lang w:val="en-US" w:eastAsia="zh-CN"/>
              </w:rPr>
              <w:t>：</w:t>
            </w:r>
            <w:r>
              <w:rPr>
                <w:rFonts w:hint="default" w:ascii="宋体" w:hAnsi="宋体"/>
                <w:b w:val="0"/>
                <w:bCs/>
                <w:color w:val="auto"/>
                <w:szCs w:val="21"/>
                <w:lang w:val="en-US" w:eastAsia="zh-CN"/>
              </w:rPr>
              <w:t>报价采用固定综合单价</w:t>
            </w:r>
            <w:r>
              <w:rPr>
                <w:rFonts w:hint="eastAsia" w:ascii="宋体" w:hAnsi="宋体"/>
                <w:b w:val="0"/>
                <w:bCs/>
                <w:color w:val="auto"/>
                <w:szCs w:val="21"/>
                <w:lang w:val="en-US" w:eastAsia="zh-CN"/>
              </w:rPr>
              <w:t>，报价包含物资、运输、利润、风险及管理所有费用，税费（增值税）按税务机关核定税率单独计算，采取一次性不可更改的报价方式报价，报价应加盖公司公章。</w:t>
            </w:r>
          </w:p>
          <w:p>
            <w:pPr>
              <w:numPr>
                <w:ilvl w:val="0"/>
                <w:numId w:val="5"/>
              </w:numPr>
              <w:spacing w:line="240" w:lineRule="auto"/>
              <w:rPr>
                <w:rFonts w:hint="eastAsia" w:ascii="宋体" w:hAnsi="宋体"/>
                <w:b w:val="0"/>
                <w:bCs/>
                <w:color w:val="auto"/>
                <w:szCs w:val="21"/>
                <w:lang w:val="en-US" w:eastAsia="zh-CN"/>
              </w:rPr>
            </w:pPr>
            <w:r>
              <w:rPr>
                <w:rFonts w:hint="eastAsia" w:ascii="宋体" w:hAnsi="宋体"/>
                <w:b w:val="0"/>
                <w:bCs/>
                <w:color w:val="auto"/>
                <w:szCs w:val="21"/>
                <w:lang w:val="en-US" w:eastAsia="zh-CN"/>
              </w:rPr>
              <w:t>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240" w:lineRule="auto"/>
              <w:rPr>
                <w:rFonts w:hint="eastAsia" w:ascii="宋体" w:hAnsi="宋体"/>
                <w:b w:val="0"/>
                <w:bCs/>
                <w:color w:val="auto"/>
                <w:szCs w:val="21"/>
                <w:lang w:val="en-US" w:eastAsia="zh-CN"/>
              </w:rPr>
            </w:pPr>
            <w:r>
              <w:rPr>
                <w:rFonts w:hint="eastAsia" w:ascii="宋体" w:hAnsi="宋体"/>
                <w:b w:val="0"/>
                <w:bCs/>
                <w:color w:val="auto"/>
                <w:szCs w:val="21"/>
                <w:lang w:val="en-US" w:eastAsia="zh-CN"/>
              </w:rPr>
              <w:t>3、投标文件中报价如果出现下列不一致的，可按以下原则进行修改：</w:t>
            </w:r>
          </w:p>
          <w:p>
            <w:pPr>
              <w:spacing w:line="240" w:lineRule="auto"/>
              <w:rPr>
                <w:rFonts w:hint="eastAsia" w:ascii="宋体" w:hAnsi="宋体"/>
                <w:b w:val="0"/>
                <w:bCs/>
                <w:color w:val="auto"/>
                <w:szCs w:val="21"/>
                <w:lang w:val="en-US" w:eastAsia="zh-CN"/>
              </w:rPr>
            </w:pPr>
            <w:r>
              <w:rPr>
                <w:rFonts w:hint="default" w:ascii="宋体" w:hAnsi="宋体"/>
                <w:b w:val="0"/>
                <w:bCs/>
                <w:color w:val="auto"/>
                <w:szCs w:val="21"/>
                <w:lang w:val="en-US" w:eastAsia="zh-CN"/>
              </w:rPr>
              <w:t>①</w:t>
            </w:r>
            <w:r>
              <w:rPr>
                <w:rFonts w:hint="eastAsia" w:ascii="宋体" w:hAnsi="宋体"/>
                <w:b w:val="0"/>
                <w:bCs/>
                <w:color w:val="auto"/>
                <w:szCs w:val="21"/>
                <w:lang w:val="en-US" w:eastAsia="zh-CN"/>
              </w:rPr>
              <w:t>大写金额和小写金额不一致的，以大写金额为准，但大写金额文字存在错误的，应当先对大写金额的文字错误进行澄清、说明或者更正，再行修正。</w:t>
            </w:r>
          </w:p>
          <w:p>
            <w:pPr>
              <w:spacing w:line="240" w:lineRule="auto"/>
              <w:rPr>
                <w:rFonts w:hint="eastAsia" w:ascii="宋体" w:hAnsi="宋体"/>
                <w:b w:val="0"/>
                <w:bCs/>
                <w:color w:val="auto"/>
                <w:szCs w:val="21"/>
                <w:lang w:val="en-US" w:eastAsia="zh-CN"/>
              </w:rPr>
            </w:pPr>
            <w:r>
              <w:rPr>
                <w:rFonts w:hint="default" w:ascii="宋体" w:hAnsi="宋体"/>
                <w:b w:val="0"/>
                <w:bCs/>
                <w:color w:val="auto"/>
                <w:szCs w:val="21"/>
                <w:lang w:val="en-US" w:eastAsia="zh-CN"/>
              </w:rPr>
              <w:t>②</w:t>
            </w:r>
            <w:r>
              <w:rPr>
                <w:rFonts w:hint="eastAsia" w:ascii="宋体" w:hAnsi="宋体"/>
                <w:b w:val="0"/>
                <w:bCs/>
                <w:color w:val="auto"/>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240" w:lineRule="auto"/>
              <w:rPr>
                <w:rFonts w:hint="eastAsia" w:ascii="宋体" w:hAnsi="宋体"/>
                <w:b w:val="0"/>
                <w:bCs/>
                <w:color w:val="auto"/>
                <w:szCs w:val="21"/>
                <w:lang w:val="en-US" w:eastAsia="zh-CN"/>
              </w:rPr>
            </w:pPr>
            <w:r>
              <w:rPr>
                <w:rFonts w:hint="default" w:ascii="宋体" w:hAnsi="宋体"/>
                <w:b w:val="0"/>
                <w:bCs/>
                <w:color w:val="auto"/>
                <w:szCs w:val="21"/>
                <w:lang w:val="en-US" w:eastAsia="zh-CN"/>
              </w:rPr>
              <w:t>③</w:t>
            </w:r>
            <w:r>
              <w:rPr>
                <w:rFonts w:hint="eastAsia" w:ascii="宋体" w:hAnsi="宋体"/>
                <w:b w:val="0"/>
                <w:bCs/>
                <w:color w:val="auto"/>
                <w:szCs w:val="21"/>
                <w:lang w:val="en-US" w:eastAsia="zh-CN"/>
              </w:rPr>
              <w:t>单价金额小数点或者百分比有明显错位的，以总价为准，修正单价。</w:t>
            </w:r>
          </w:p>
          <w:p>
            <w:pPr>
              <w:spacing w:line="240" w:lineRule="auto"/>
              <w:rPr>
                <w:rFonts w:hint="eastAsia" w:ascii="宋体" w:hAnsi="宋体"/>
                <w:b w:val="0"/>
                <w:bCs/>
                <w:color w:val="auto"/>
                <w:szCs w:val="21"/>
                <w:lang w:val="en-US" w:eastAsia="zh-CN"/>
              </w:rPr>
            </w:pPr>
            <w:r>
              <w:rPr>
                <w:rFonts w:hint="eastAsia" w:ascii="宋体" w:hAnsi="宋体"/>
                <w:b w:val="0"/>
                <w:bCs/>
                <w:color w:val="auto"/>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p>
            <w:pPr>
              <w:spacing w:line="240" w:lineRule="auto"/>
              <w:rPr>
                <w:rFonts w:hint="default"/>
                <w:color w:val="auto"/>
                <w:lang w:val="en-US"/>
              </w:rPr>
            </w:pPr>
            <w:r>
              <w:rPr>
                <w:rFonts w:hint="eastAsia" w:ascii="宋体" w:hAnsi="宋体"/>
                <w:b/>
                <w:bCs w:val="0"/>
                <w:color w:val="auto"/>
                <w:szCs w:val="21"/>
                <w:lang w:val="en-US" w:eastAsia="zh-CN"/>
              </w:rPr>
              <w:t>4、对于供应商报价清单漏报项，未超过采购清单项数5%（含本数）且缺项累计金额</w:t>
            </w:r>
            <w:r>
              <w:rPr>
                <w:rFonts w:hint="eastAsia" w:ascii="宋体" w:hAnsi="宋体"/>
                <w:b/>
                <w:bCs w:val="0"/>
                <w:color w:val="auto"/>
                <w:szCs w:val="21"/>
                <w:lang w:val="en-US" w:eastAsia="zh-CN"/>
              </w:rPr>
              <w:t>未超过采购控制价2%的，采购人视为供应商漏项价格包含在其他分项报价及总报价中。若供应商报价清单漏报项数超过采购清单项数5%（不含本数）或超过采购控制价2%的，其竞价文件无效。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竞价书</w:t>
            </w:r>
            <w:r>
              <w:rPr>
                <w:rFonts w:hint="eastAsia" w:ascii="宋体" w:hAnsi="宋体"/>
                <w:b/>
                <w:bCs w:val="0"/>
                <w:color w:val="auto"/>
                <w:szCs w:val="21"/>
              </w:rPr>
              <w:t>提交时间</w:t>
            </w:r>
            <w:r>
              <w:rPr>
                <w:rFonts w:hint="eastAsia" w:ascii="宋体" w:hAnsi="宋体"/>
                <w:b/>
                <w:bCs w:val="0"/>
                <w:color w:val="auto"/>
                <w:szCs w:val="21"/>
                <w:lang w:val="en-US" w:eastAsia="zh-CN"/>
              </w:rPr>
              <w:t>及竞价方式</w:t>
            </w:r>
          </w:p>
        </w:tc>
        <w:tc>
          <w:tcPr>
            <w:tcW w:w="7886" w:type="dxa"/>
            <w:gridSpan w:val="3"/>
            <w:noWrap w:val="0"/>
            <w:vAlign w:val="top"/>
          </w:tcPr>
          <w:p>
            <w:pPr>
              <w:numPr>
                <w:ilvl w:val="0"/>
                <w:numId w:val="0"/>
              </w:numPr>
              <w:rPr>
                <w:rFonts w:hint="eastAsia"/>
                <w:color w:val="auto"/>
                <w:lang w:eastAsia="zh-CN"/>
              </w:rPr>
            </w:pPr>
            <w:r>
              <w:rPr>
                <w:rFonts w:hint="eastAsia"/>
                <w:color w:val="auto"/>
                <w:lang w:val="en-US" w:eastAsia="zh-CN"/>
              </w:rPr>
              <w:t>1、竞价书</w:t>
            </w:r>
            <w:r>
              <w:rPr>
                <w:rFonts w:hint="eastAsia"/>
                <w:color w:val="auto"/>
              </w:rPr>
              <w:t>递交</w:t>
            </w:r>
            <w:r>
              <w:rPr>
                <w:rFonts w:hint="eastAsia"/>
                <w:color w:val="auto"/>
                <w:lang w:val="en-US" w:eastAsia="zh-CN"/>
              </w:rPr>
              <w:t>截止（开标）</w:t>
            </w:r>
            <w:r>
              <w:rPr>
                <w:rFonts w:hint="eastAsia"/>
                <w:color w:val="auto"/>
              </w:rPr>
              <w:t>时间：</w:t>
            </w:r>
            <w:r>
              <w:rPr>
                <w:rFonts w:hint="eastAsia"/>
                <w:color w:val="auto"/>
                <w:lang w:val="en-US" w:eastAsia="zh-CN"/>
              </w:rPr>
              <w:t>2024</w:t>
            </w:r>
            <w:r>
              <w:rPr>
                <w:rFonts w:hint="eastAsia"/>
                <w:color w:val="auto"/>
              </w:rPr>
              <w:t>年</w:t>
            </w:r>
            <w:r>
              <w:rPr>
                <w:rFonts w:hint="eastAsia"/>
                <w:color w:val="auto"/>
                <w:lang w:val="en-US" w:eastAsia="zh-CN"/>
              </w:rPr>
              <w:t>6</w:t>
            </w:r>
            <w:r>
              <w:rPr>
                <w:rFonts w:hint="eastAsia"/>
                <w:color w:val="auto"/>
              </w:rPr>
              <w:t>月</w:t>
            </w:r>
            <w:r>
              <w:rPr>
                <w:rFonts w:hint="eastAsia"/>
                <w:color w:val="auto"/>
                <w:lang w:val="en-US" w:eastAsia="zh-CN"/>
              </w:rPr>
              <w:t>3</w:t>
            </w:r>
            <w:r>
              <w:rPr>
                <w:rFonts w:hint="eastAsia"/>
                <w:color w:val="auto"/>
              </w:rPr>
              <w:t>日</w:t>
            </w:r>
            <w:r>
              <w:rPr>
                <w:rFonts w:hint="eastAsia"/>
                <w:color w:val="auto"/>
                <w:lang w:val="en-US" w:eastAsia="zh-CN"/>
              </w:rPr>
              <w:t>10</w:t>
            </w:r>
            <w:r>
              <w:rPr>
                <w:rFonts w:hint="eastAsia"/>
                <w:color w:val="auto"/>
              </w:rPr>
              <w:t>时</w:t>
            </w:r>
            <w:r>
              <w:rPr>
                <w:rFonts w:hint="eastAsia"/>
                <w:color w:val="auto"/>
                <w:lang w:val="en-US" w:eastAsia="zh-CN"/>
              </w:rPr>
              <w:t>00</w:t>
            </w:r>
            <w:r>
              <w:rPr>
                <w:rFonts w:hint="eastAsia"/>
                <w:color w:val="auto"/>
              </w:rPr>
              <w:t>分（北京时间）</w:t>
            </w:r>
            <w:r>
              <w:rPr>
                <w:rFonts w:hint="eastAsia"/>
                <w:color w:val="auto"/>
                <w:lang w:eastAsia="zh-CN"/>
              </w:rPr>
              <w:t>。</w:t>
            </w:r>
          </w:p>
          <w:p>
            <w:pPr>
              <w:numPr>
                <w:ilvl w:val="0"/>
                <w:numId w:val="0"/>
              </w:numPr>
              <w:rPr>
                <w:rFonts w:hint="eastAsia"/>
                <w:color w:val="auto"/>
                <w:lang w:val="en-US" w:eastAsia="zh-CN"/>
              </w:rPr>
            </w:pPr>
            <w:r>
              <w:rPr>
                <w:rFonts w:hint="eastAsia"/>
                <w:color w:val="auto"/>
                <w:lang w:val="en-US" w:eastAsia="zh-CN"/>
              </w:rPr>
              <w:t>2、本次竞价方式：</w:t>
            </w:r>
            <w:r>
              <w:rPr>
                <w:rFonts w:hint="eastAsia"/>
                <w:color w:val="auto"/>
                <w:u w:val="single"/>
                <w:lang w:val="en-US" w:eastAsia="zh-CN"/>
              </w:rPr>
              <w:t xml:space="preserve">   书面竞价  </w:t>
            </w:r>
            <w:r>
              <w:rPr>
                <w:rFonts w:hint="eastAsia"/>
                <w:color w:val="auto"/>
                <w:lang w:val="en-US" w:eastAsia="zh-CN"/>
              </w:rPr>
              <w:t>（书面竞价/现场竞价）。</w:t>
            </w:r>
          </w:p>
          <w:p>
            <w:pPr>
              <w:numPr>
                <w:ilvl w:val="0"/>
                <w:numId w:val="0"/>
              </w:numPr>
              <w:rPr>
                <w:rFonts w:hint="eastAsia"/>
                <w:color w:val="auto"/>
                <w:lang w:val="en-US" w:eastAsia="zh-CN"/>
              </w:rPr>
            </w:pPr>
            <w:r>
              <w:rPr>
                <w:rFonts w:hint="default"/>
                <w:color w:val="auto"/>
                <w:lang w:val="en-US" w:eastAsia="zh-CN"/>
              </w:rPr>
              <w:t>①</w:t>
            </w:r>
            <w:r>
              <w:rPr>
                <w:rFonts w:hint="eastAsia"/>
                <w:b/>
                <w:bCs/>
                <w:color w:val="auto"/>
                <w:lang w:val="en-US" w:eastAsia="zh-CN"/>
              </w:rPr>
              <w:t>书面竞价：</w:t>
            </w:r>
            <w:r>
              <w:rPr>
                <w:rFonts w:hint="eastAsia"/>
                <w:color w:val="auto"/>
                <w:lang w:val="en-US" w:eastAsia="zh-CN"/>
              </w:rPr>
              <w:t>接受在递交截止时间前通过以下任意一种方式递交：</w:t>
            </w:r>
            <w:r>
              <w:rPr>
                <w:rFonts w:hint="eastAsia"/>
                <w:color w:val="auto"/>
                <w:u w:val="single"/>
                <w:lang w:val="en-US" w:eastAsia="zh-CN"/>
              </w:rPr>
              <w:t>邮寄/现场递交</w:t>
            </w:r>
            <w:r>
              <w:rPr>
                <w:rFonts w:hint="eastAsia"/>
                <w:color w:val="auto"/>
                <w:u w:val="none"/>
                <w:lang w:val="en-US" w:eastAsia="zh-CN"/>
              </w:rPr>
              <w:t>，竞价人须在递交截止时间前</w:t>
            </w:r>
            <w:r>
              <w:rPr>
                <w:rFonts w:hint="eastAsia"/>
                <w:color w:val="auto"/>
                <w:lang w:val="en-US" w:eastAsia="zh-CN"/>
              </w:rPr>
              <w:t>将竞价书纸质原件按照竞价函要求</w:t>
            </w:r>
            <w:r>
              <w:rPr>
                <w:rFonts w:hint="eastAsia"/>
                <w:b/>
                <w:bCs/>
                <w:color w:val="auto"/>
                <w:lang w:val="en-US" w:eastAsia="zh-CN"/>
              </w:rPr>
              <w:t>签字、盖章、胶装成册密封盖章</w:t>
            </w:r>
            <w:r>
              <w:rPr>
                <w:rFonts w:hint="eastAsia"/>
                <w:color w:val="auto"/>
                <w:lang w:val="en-US" w:eastAsia="zh-CN"/>
              </w:rPr>
              <w:t>后邮寄到场或现场递交至</w:t>
            </w:r>
            <w:r>
              <w:rPr>
                <w:rFonts w:hint="eastAsia"/>
                <w:color w:val="auto"/>
              </w:rPr>
              <w:t>：雅安城投建筑工程有限公司，地址：</w:t>
            </w:r>
            <w:r>
              <w:rPr>
                <w:rFonts w:hint="eastAsia"/>
                <w:color w:val="auto"/>
                <w:lang w:val="en-US" w:eastAsia="zh-CN"/>
              </w:rPr>
              <w:t>四川省雅安市雨城区和兴街1号，联系人及电话：杨女士</w:t>
            </w:r>
            <w:r>
              <w:rPr>
                <w:rFonts w:hint="eastAsia" w:ascii="宋体" w:hAnsi="宋体"/>
                <w:b w:val="0"/>
                <w:bCs/>
                <w:color w:val="auto"/>
                <w:szCs w:val="21"/>
                <w:lang w:val="en-US" w:eastAsia="zh-CN"/>
              </w:rPr>
              <w:t>18402889301</w:t>
            </w:r>
            <w:r>
              <w:rPr>
                <w:rFonts w:hint="eastAsia"/>
                <w:color w:val="auto"/>
                <w:lang w:val="en-US" w:eastAsia="zh-CN"/>
              </w:rPr>
              <w:t>。</w:t>
            </w:r>
          </w:p>
          <w:p>
            <w:pPr>
              <w:pStyle w:val="4"/>
              <w:ind w:firstLine="422" w:firstLineChars="200"/>
              <w:rPr>
                <w:rFonts w:hint="default"/>
                <w:color w:val="auto"/>
                <w:lang w:val="en-US"/>
              </w:rPr>
            </w:pPr>
            <w:r>
              <w:rPr>
                <w:rFonts w:hint="eastAsia" w:ascii="宋体" w:hAnsi="宋体"/>
                <w:b/>
                <w:bCs w:val="0"/>
                <w:color w:val="auto"/>
                <w:szCs w:val="21"/>
                <w:lang w:val="en-US" w:eastAsia="zh-CN"/>
              </w:rPr>
              <w:t>注：若采用邮寄递交的，各供应商须将存有与竞价书一致的扫描件U盘与竞价书一并封装后进行递交；若为现场递交的，竞价书扫描件U盘可单独交由采购人现场拷贝后予以归还。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35" w:type="dxa"/>
            <w:noWrap w:val="0"/>
            <w:vAlign w:val="top"/>
          </w:tcPr>
          <w:p>
            <w:pPr>
              <w:spacing w:line="500" w:lineRule="exact"/>
              <w:rPr>
                <w:rFonts w:hint="default" w:ascii="宋体" w:hAnsi="宋体"/>
                <w:b/>
                <w:bCs w:val="0"/>
                <w:color w:val="auto"/>
                <w:szCs w:val="21"/>
                <w:lang w:val="en-US" w:eastAsia="zh-CN"/>
              </w:rPr>
            </w:pPr>
            <w:r>
              <w:rPr>
                <w:rFonts w:hint="eastAsia" w:ascii="宋体" w:hAnsi="宋体"/>
                <w:b/>
                <w:bCs w:val="0"/>
                <w:color w:val="auto"/>
                <w:szCs w:val="21"/>
                <w:lang w:val="en-US" w:eastAsia="zh-CN"/>
              </w:rPr>
              <w:t>付款方式</w:t>
            </w:r>
          </w:p>
        </w:tc>
        <w:tc>
          <w:tcPr>
            <w:tcW w:w="7886" w:type="dxa"/>
            <w:gridSpan w:val="3"/>
            <w:noWrap w:val="0"/>
            <w:vAlign w:val="top"/>
          </w:tcPr>
          <w:p>
            <w:pPr>
              <w:numPr>
                <w:ilvl w:val="0"/>
                <w:numId w:val="0"/>
              </w:numPr>
              <w:rPr>
                <w:rFonts w:hint="default"/>
                <w:color w:val="auto"/>
                <w:u w:val="none"/>
                <w:lang w:val="en-US" w:eastAsia="zh-CN"/>
              </w:rPr>
            </w:pPr>
            <w:r>
              <w:rPr>
                <w:rFonts w:hint="eastAsia"/>
                <w:color w:val="auto"/>
                <w:u w:val="none"/>
                <w:lang w:val="en-US" w:eastAsia="zh-CN"/>
              </w:rPr>
              <w:t>每月按供货金额百分之八十进行支付，供货完毕后60日内办理结算支付至所有金额97%，剩余3%为质保金（质保期为供货完成后一年）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auto"/>
                <w:szCs w:val="21"/>
                <w:lang w:val="en-US" w:eastAsia="zh-CN"/>
              </w:rPr>
            </w:pPr>
            <w:r>
              <w:rPr>
                <w:rFonts w:hint="eastAsia" w:ascii="宋体" w:hAnsi="宋体"/>
                <w:b/>
                <w:bCs w:val="0"/>
                <w:color w:val="auto"/>
                <w:szCs w:val="21"/>
                <w:lang w:val="en-US" w:eastAsia="zh-CN"/>
              </w:rPr>
              <w:t>合同授予</w:t>
            </w:r>
          </w:p>
        </w:tc>
        <w:tc>
          <w:tcPr>
            <w:tcW w:w="7886" w:type="dxa"/>
            <w:gridSpan w:val="3"/>
            <w:noWrap w:val="0"/>
            <w:vAlign w:val="top"/>
          </w:tcPr>
          <w:p>
            <w:pPr>
              <w:numPr>
                <w:ilvl w:val="0"/>
                <w:numId w:val="0"/>
              </w:numPr>
              <w:rPr>
                <w:rFonts w:hint="eastAsia"/>
                <w:color w:val="auto"/>
                <w:u w:val="none"/>
                <w:lang w:val="en-US" w:eastAsia="zh-CN"/>
              </w:rPr>
            </w:pPr>
            <w:r>
              <w:rPr>
                <w:rFonts w:hint="eastAsia"/>
                <w:color w:val="auto"/>
                <w:u w:val="none"/>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auto"/>
                <w:szCs w:val="21"/>
              </w:rPr>
            </w:pPr>
            <w:r>
              <w:rPr>
                <w:rFonts w:hint="eastAsia" w:ascii="宋体" w:hAnsi="宋体"/>
                <w:b/>
                <w:bCs w:val="0"/>
                <w:color w:val="auto"/>
                <w:szCs w:val="21"/>
              </w:rPr>
              <w:t>廉洁要求</w:t>
            </w:r>
          </w:p>
        </w:tc>
        <w:tc>
          <w:tcPr>
            <w:tcW w:w="7886" w:type="dxa"/>
            <w:gridSpan w:val="3"/>
            <w:noWrap w:val="0"/>
            <w:vAlign w:val="top"/>
          </w:tcPr>
          <w:p>
            <w:pPr>
              <w:numPr>
                <w:ilvl w:val="0"/>
                <w:numId w:val="0"/>
              </w:numPr>
              <w:rPr>
                <w:rFonts w:hint="eastAsia"/>
                <w:color w:val="auto"/>
                <w:u w:val="none"/>
                <w:lang w:val="en-US" w:eastAsia="zh-CN"/>
              </w:rPr>
            </w:pPr>
            <w:r>
              <w:rPr>
                <w:rFonts w:hint="eastAsia"/>
                <w:color w:val="auto"/>
                <w:u w:val="none"/>
                <w:lang w:val="en-US" w:eastAsia="zh-CN"/>
              </w:rPr>
              <w:t>要求供应商公开、公平、公正参与本次采购（报价、采购），无论是在采购过程或合同履约过程中出现有围标、串标、陪标、行贿、提供虚假资料谋取中选等行为的，采购人将按照下列规定处理供应商：</w:t>
            </w:r>
          </w:p>
          <w:p>
            <w:pPr>
              <w:numPr>
                <w:ilvl w:val="0"/>
                <w:numId w:val="0"/>
              </w:numPr>
              <w:rPr>
                <w:rFonts w:hint="eastAsia"/>
                <w:color w:val="auto"/>
                <w:u w:val="none"/>
                <w:lang w:val="en-US" w:eastAsia="zh-CN"/>
              </w:rPr>
            </w:pPr>
            <w:r>
              <w:rPr>
                <w:rFonts w:hint="eastAsia"/>
                <w:color w:val="auto"/>
                <w:u w:val="none"/>
                <w:lang w:val="en-US" w:eastAsia="zh-CN"/>
              </w:rPr>
              <w:t>（1）已中选的，中选无效。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numPr>
                <w:ilvl w:val="0"/>
                <w:numId w:val="0"/>
              </w:numPr>
              <w:rPr>
                <w:rFonts w:hint="eastAsia"/>
                <w:color w:val="auto"/>
                <w:u w:val="none"/>
                <w:lang w:val="en-US" w:eastAsia="zh-CN"/>
              </w:rPr>
            </w:pPr>
            <w:r>
              <w:rPr>
                <w:rFonts w:hint="eastAsia"/>
                <w:color w:val="auto"/>
                <w:u w:val="none"/>
                <w:lang w:val="en-US" w:eastAsia="zh-CN"/>
              </w:rPr>
              <w:t>（2）采购人有权可通过诉讼方式向违规供方主张权利。</w:t>
            </w:r>
          </w:p>
          <w:p>
            <w:pPr>
              <w:numPr>
                <w:ilvl w:val="0"/>
                <w:numId w:val="0"/>
              </w:numPr>
              <w:rPr>
                <w:rFonts w:hint="eastAsia"/>
                <w:color w:val="auto"/>
                <w:u w:val="none"/>
                <w:lang w:val="en-US" w:eastAsia="zh-CN"/>
              </w:rPr>
            </w:pPr>
            <w:r>
              <w:rPr>
                <w:rFonts w:hint="eastAsia"/>
                <w:color w:val="auto"/>
                <w:u w:val="none"/>
                <w:lang w:val="en-US" w:eastAsia="zh-CN"/>
              </w:rPr>
              <w:t>（3）采购人有权将违规单位列入采购人的黑名单三年。</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4"/>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firstLine="1440" w:firstLineChars="400"/>
        <w:jc w:val="both"/>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val="en-US" w:eastAsia="zh-CN"/>
        </w:rPr>
        <w:t>花襄·里项目6月零星材料采购</w:t>
      </w: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282613284"/>
      <w:bookmarkStart w:id="1" w:name="_Toc182996297"/>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val="en-US" w:eastAsia="zh-CN"/>
        </w:rPr>
        <w:t xml:space="preserve">     </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color w:val="000000"/>
          <w:sz w:val="24"/>
          <w:u w:val="single"/>
          <w:lang w:val="en-US" w:eastAsia="zh-CN"/>
        </w:rPr>
        <w:t xml:space="preserve">   </w:t>
      </w:r>
    </w:p>
    <w:p>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FF0000"/>
          <w:sz w:val="24"/>
          <w:u w:val="single"/>
          <w:lang w:val="en-US" w:eastAsia="zh-CN"/>
        </w:rPr>
        <w:t>“花襄·里项目6月零星材料采购”</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20" w:lineRule="exact"/>
        <w:ind w:firstLine="240" w:firstLineChars="100"/>
        <w:jc w:val="left"/>
        <w:rPr>
          <w:rFonts w:hint="eastAsia" w:ascii="宋体" w:hAnsi="宋体"/>
          <w:color w:val="000000"/>
          <w:sz w:val="24"/>
          <w:lang w:val="en-US" w:eastAsia="zh-CN"/>
        </w:rPr>
      </w:pPr>
      <w:r>
        <w:rPr>
          <w:rFonts w:hint="eastAsia" w:ascii="宋体" w:hAnsi="宋体"/>
          <w:color w:val="000000"/>
          <w:sz w:val="24"/>
          <w:lang w:val="en-US" w:eastAsia="zh-CN"/>
        </w:rPr>
        <w:t>（5）</w:t>
      </w:r>
      <w:r>
        <w:rPr>
          <w:rFonts w:hint="eastAsia" w:ascii="宋体" w:hAnsi="宋体" w:eastAsia="宋体" w:cs="Times New Roman"/>
          <w:color w:val="000000"/>
          <w:sz w:val="24"/>
          <w:lang w:val="en-US" w:eastAsia="zh-CN"/>
        </w:rPr>
        <w:t xml:space="preserve">供应商自 </w:t>
      </w:r>
      <w:r>
        <w:rPr>
          <w:rFonts w:hint="eastAsia" w:ascii="宋体" w:hAnsi="宋体" w:cs="Times New Roman"/>
          <w:color w:val="FF0000"/>
          <w:sz w:val="24"/>
          <w:lang w:val="en-US" w:eastAsia="zh-CN"/>
        </w:rPr>
        <w:t>2021</w:t>
      </w:r>
      <w:r>
        <w:rPr>
          <w:rFonts w:hint="eastAsia" w:ascii="宋体" w:hAnsi="宋体" w:eastAsia="宋体" w:cs="Times New Roman"/>
          <w:color w:val="000000"/>
          <w:sz w:val="24"/>
          <w:lang w:val="en-US" w:eastAsia="zh-CN"/>
        </w:rPr>
        <w:t>年 1 月 1 日以来</w:t>
      </w:r>
      <w:r>
        <w:rPr>
          <w:rFonts w:hint="eastAsia" w:ascii="宋体" w:hAnsi="宋体" w:cs="Times New Roman"/>
          <w:color w:val="000000"/>
          <w:sz w:val="24"/>
          <w:lang w:val="en-US" w:eastAsia="zh-CN"/>
        </w:rPr>
        <w:t>至今</w:t>
      </w:r>
      <w:r>
        <w:rPr>
          <w:rFonts w:hint="eastAsia" w:ascii="宋体" w:hAnsi="宋体" w:eastAsia="宋体" w:cs="Times New Roman"/>
          <w:color w:val="000000"/>
          <w:sz w:val="24"/>
          <w:lang w:val="en-US" w:eastAsia="zh-CN"/>
        </w:rPr>
        <w:t>签订</w:t>
      </w:r>
      <w:r>
        <w:rPr>
          <w:rFonts w:hint="eastAsia" w:ascii="宋体" w:hAnsi="宋体" w:cs="Times New Roman"/>
          <w:color w:val="000000"/>
          <w:sz w:val="24"/>
          <w:lang w:val="en-US" w:eastAsia="zh-CN"/>
        </w:rPr>
        <w:t>的</w:t>
      </w:r>
      <w:r>
        <w:rPr>
          <w:rFonts w:hint="eastAsia" w:ascii="宋体" w:hAnsi="宋体" w:cs="Times New Roman"/>
          <w:b/>
          <w:bCs/>
          <w:color w:val="FF0000"/>
          <w:sz w:val="24"/>
          <w:lang w:val="en-US" w:eastAsia="zh-CN"/>
        </w:rPr>
        <w:t>与本次采购内容有关且金额不低于36万的项目业绩。</w:t>
      </w:r>
      <w:r>
        <w:rPr>
          <w:rFonts w:hint="eastAsia" w:ascii="宋体" w:hAnsi="宋体" w:eastAsia="宋体" w:cs="Times New Roman"/>
          <w:color w:val="000000"/>
          <w:sz w:val="24"/>
          <w:lang w:val="en-US" w:eastAsia="zh-CN"/>
        </w:rPr>
        <w:t xml:space="preserve">（含 </w:t>
      </w:r>
      <w:r>
        <w:rPr>
          <w:rFonts w:hint="eastAsia" w:ascii="宋体" w:hAnsi="宋体" w:eastAsia="宋体" w:cs="Times New Roman"/>
          <w:color w:val="FF0000"/>
          <w:sz w:val="24"/>
          <w:lang w:val="en-US" w:eastAsia="zh-CN"/>
        </w:rPr>
        <w:t xml:space="preserve"> </w:t>
      </w:r>
      <w:r>
        <w:rPr>
          <w:rFonts w:hint="eastAsia" w:ascii="宋体" w:hAnsi="宋体" w:cs="Times New Roman"/>
          <w:color w:val="FF0000"/>
          <w:sz w:val="24"/>
          <w:lang w:val="en-US" w:eastAsia="zh-CN"/>
        </w:rPr>
        <w:t>2021</w:t>
      </w:r>
      <w:r>
        <w:rPr>
          <w:rFonts w:hint="eastAsia" w:ascii="宋体" w:hAnsi="宋体" w:eastAsia="宋体" w:cs="Times New Roman"/>
          <w:color w:val="FF0000"/>
          <w:sz w:val="24"/>
          <w:lang w:val="en-US" w:eastAsia="zh-CN"/>
        </w:rPr>
        <w:t xml:space="preserve"> </w:t>
      </w:r>
      <w:r>
        <w:rPr>
          <w:rFonts w:hint="eastAsia" w:ascii="宋体" w:hAnsi="宋体" w:eastAsia="宋体" w:cs="Times New Roman"/>
          <w:color w:val="000000"/>
          <w:sz w:val="24"/>
          <w:lang w:val="en-US" w:eastAsia="zh-CN"/>
        </w:rPr>
        <w:t>年 1 月 1 日，以签订合同时间为准</w:t>
      </w:r>
      <w:r>
        <w:rPr>
          <w:rFonts w:hint="eastAsia" w:ascii="宋体" w:hAnsi="宋体" w:cs="Times New Roman"/>
          <w:color w:val="000000"/>
          <w:sz w:val="24"/>
          <w:lang w:val="en-US" w:eastAsia="zh-CN"/>
        </w:rPr>
        <w:t>，</w:t>
      </w:r>
      <w:r>
        <w:rPr>
          <w:rFonts w:hint="eastAsia" w:ascii="宋体" w:hAnsi="宋体"/>
          <w:color w:val="000000"/>
          <w:sz w:val="24"/>
          <w:lang w:val="en-US" w:eastAsia="zh-CN"/>
        </w:rPr>
        <w:t>2、须提供不少于1个合同，3、采购内容有关是指“建筑材料 ”，4、合同金额是指单个合同签订的金额，若合同未能体现金额的须提供相关结算资料证明）；</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（6）供应商认为需要提交的其他文件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10"/>
        <w:spacing w:line="360" w:lineRule="auto"/>
        <w:ind w:left="0" w:leftChars="0" w:firstLine="960" w:firstLineChars="400"/>
        <w:rPr>
          <w:rFonts w:hint="eastAsia" w:ascii="宋体" w:hAnsi="宋体" w:cs="宋体"/>
          <w:sz w:val="24"/>
          <w:lang w:val="en-US" w:eastAsia="zh-CN"/>
        </w:rPr>
      </w:pPr>
    </w:p>
    <w:p>
      <w:pPr>
        <w:pStyle w:val="10"/>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10"/>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10"/>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10"/>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10"/>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7"/>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282613285"/>
      <w:bookmarkStart w:id="3" w:name="_Toc132523466"/>
      <w:bookmarkStart w:id="4" w:name="_Toc131305915"/>
      <w:bookmarkStart w:id="5" w:name="_Toc132265249"/>
      <w:bookmarkStart w:id="6" w:name="_Toc132523737"/>
      <w:bookmarkStart w:id="7" w:name="_Toc132111898"/>
      <w:r>
        <w:rPr>
          <w:rFonts w:hint="eastAsia" w:ascii="黑体" w:hAnsi="宋体" w:eastAsia="黑体"/>
          <w:snapToGrid w:val="0"/>
          <w:kern w:val="0"/>
          <w:sz w:val="31"/>
          <w:szCs w:val="21"/>
        </w:rPr>
        <w:t>报价函</w:t>
      </w:r>
    </w:p>
    <w:p>
      <w:pPr>
        <w:adjustRightInd w:val="0"/>
        <w:snapToGrid w:val="0"/>
        <w:spacing w:line="360" w:lineRule="auto"/>
        <w:ind w:firstLine="1680" w:firstLineChars="700"/>
        <w:jc w:val="left"/>
        <w:rPr>
          <w:rFonts w:ascii="宋体"/>
          <w:snapToGrid w:val="0"/>
          <w:kern w:val="0"/>
          <w:sz w:val="24"/>
        </w:rPr>
      </w:pP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szCs w:val="24"/>
          <w:u w:val="single"/>
          <w:lang w:eastAsia="zh-CN"/>
        </w:rPr>
      </w:pPr>
      <w:r>
        <w:rPr>
          <w:rFonts w:hint="eastAsia" w:ascii="宋体" w:hAnsi="宋体"/>
          <w:snapToGrid w:val="0"/>
          <w:kern w:val="0"/>
          <w:sz w:val="24"/>
        </w:rPr>
        <w:t>1．我方已仔细研究了</w:t>
      </w:r>
      <w:r>
        <w:rPr>
          <w:rFonts w:hint="eastAsia" w:ascii="宋体" w:hAnsi="宋体"/>
          <w:color w:val="FF0000"/>
          <w:sz w:val="24"/>
          <w:u w:val="single"/>
          <w:lang w:val="en-US" w:eastAsia="zh-CN"/>
        </w:rPr>
        <w:t xml:space="preserve">花襄·里项目6月零星材料采购  </w:t>
      </w:r>
      <w:r>
        <w:rPr>
          <w:rFonts w:hint="eastAsia" w:ascii="宋体" w:hAnsi="宋体"/>
          <w:snapToGrid w:val="0"/>
          <w:color w:val="FF0000"/>
          <w:kern w:val="0"/>
          <w:sz w:val="24"/>
          <w:u w:val="single"/>
          <w:lang w:val="en-US" w:eastAsia="zh-CN"/>
        </w:rPr>
        <w:t xml:space="preserve">       </w:t>
      </w:r>
      <w:r>
        <w:rPr>
          <w:rFonts w:hint="eastAsia" w:ascii="宋体" w:hAnsi="宋体"/>
          <w:color w:val="FF0000"/>
          <w:kern w:val="0"/>
          <w:sz w:val="24"/>
          <w:u w:val="single"/>
          <w:lang w:val="en-US" w:eastAsia="zh-CN"/>
        </w:rPr>
        <w:t xml:space="preserve"> </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w:t>
      </w:r>
      <w:r>
        <w:rPr>
          <w:rFonts w:hint="eastAsia" w:ascii="宋体" w:hAnsi="宋体" w:cs="宋体"/>
          <w:snapToGrid w:val="0"/>
          <w:sz w:val="24"/>
          <w:szCs w:val="24"/>
          <w:lang w:eastAsia="zh-CN"/>
        </w:rPr>
        <w:t>，</w:t>
      </w:r>
      <w:r>
        <w:rPr>
          <w:rFonts w:hint="eastAsia" w:ascii="宋体" w:hAnsi="宋体" w:eastAsia="宋体" w:cs="宋体"/>
          <w:snapToGrid w:val="0"/>
          <w:sz w:val="24"/>
          <w:szCs w:val="24"/>
        </w:rPr>
        <w:t>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snapToGrid w:val="0"/>
          <w:color w:val="FF0000"/>
          <w:kern w:val="0"/>
          <w:sz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30</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b w:val="0"/>
          <w:bCs/>
          <w:color w:val="FF0000"/>
          <w:sz w:val="24"/>
          <w:szCs w:val="24"/>
          <w:u w:val="single"/>
          <w:lang w:val="en-US" w:eastAsia="zh-CN"/>
        </w:rPr>
        <w:t>符合国家现行质量标准和行业标准。</w:t>
      </w:r>
      <w:r>
        <w:rPr>
          <w:rFonts w:hint="eastAsia" w:ascii="宋体" w:hAnsi="宋体"/>
          <w:snapToGrid w:val="0"/>
          <w:kern w:val="0"/>
          <w:sz w:val="24"/>
          <w:szCs w:val="24"/>
          <w:u w:val="single"/>
          <w:lang w:eastAsia="zh-CN"/>
        </w:rPr>
        <w:t>。</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default"/>
          <w:lang w:val="en-US" w:eastAsia="zh-CN"/>
        </w:rPr>
      </w:pPr>
      <w:r>
        <w:rPr>
          <w:rFonts w:hint="eastAsia"/>
          <w:lang w:val="en-US" w:eastAsia="zh-CN"/>
        </w:rPr>
        <w:t>详见清单附件</w:t>
      </w:r>
      <w:r>
        <w:rPr>
          <w:rFonts w:hint="eastAsia"/>
          <w:b/>
          <w:bCs/>
          <w:color w:val="FF0000"/>
          <w:lang w:val="en-US" w:eastAsia="zh-CN"/>
        </w:rPr>
        <w:t>（注：或将采购清单附于此页）</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r>
        <w:rPr>
          <w:rFonts w:hint="eastAsia"/>
          <w:lang w:val="en-US" w:eastAsia="zh-CN"/>
        </w:rPr>
        <w:t xml:space="preserve"> </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ascii="宋体" w:hAnsi="宋体"/>
          <w:b/>
          <w:bCs/>
          <w:color w:val="FF0000"/>
          <w:sz w:val="24"/>
          <w:lang w:val="en-US" w:eastAsia="zh-CN"/>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此表装入竞价文件中，作为报价函附件</w:t>
      </w:r>
      <w:r>
        <w:rPr>
          <w:rFonts w:hint="eastAsia" w:ascii="宋体" w:hAnsi="宋体"/>
          <w:b/>
          <w:bCs/>
          <w:color w:val="FF0000"/>
          <w:sz w:val="24"/>
          <w:lang w:eastAsia="zh-CN"/>
        </w:rPr>
        <w:t>）</w:t>
      </w: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bookmarkEnd w:id="2"/>
      <w:bookmarkEnd w:id="3"/>
      <w:bookmarkEnd w:id="4"/>
      <w:bookmarkEnd w:id="5"/>
      <w:bookmarkEnd w:id="6"/>
      <w:bookmarkEnd w:id="7"/>
      <w:r>
        <w:rPr>
          <w:rFonts w:hint="eastAsia" w:ascii="宋体" w:hAnsi="宋体"/>
          <w:color w:val="000000"/>
          <w:lang w:val="en-US" w:eastAsia="zh-CN"/>
        </w:rPr>
        <w:t>3</w:t>
      </w:r>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color w:val="000000"/>
          <w:sz w:val="24"/>
        </w:rPr>
      </w:pPr>
    </w:p>
    <w:p>
      <w:pPr>
        <w:spacing w:line="360" w:lineRule="auto"/>
        <w:rPr>
          <w:rFonts w:ascii="宋体" w:hAnsi="宋体" w:cs="宋体"/>
          <w:b/>
          <w:bCs/>
          <w:color w:val="FF0000"/>
          <w:sz w:val="24"/>
        </w:rPr>
      </w:pP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2、营业执照</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400" w:lineRule="exact"/>
        <w:rPr>
          <w:rFonts w:hint="eastAsia" w:ascii="宋体" w:hAnsi="宋体"/>
          <w:color w:val="000000"/>
          <w:sz w:val="24"/>
        </w:rPr>
      </w:pPr>
    </w:p>
    <w:p>
      <w:pPr>
        <w:spacing w:line="400" w:lineRule="exact"/>
        <w:rPr>
          <w:rFonts w:hint="eastAsia"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pStyle w:val="2"/>
        <w:numPr>
          <w:ilvl w:val="4"/>
          <w:numId w:val="0"/>
        </w:numPr>
        <w:rPr>
          <w:rFonts w:hint="eastAsia"/>
        </w:rPr>
      </w:pPr>
    </w:p>
    <w:p>
      <w:pPr>
        <w:spacing w:line="360" w:lineRule="auto"/>
        <w:rPr>
          <w:rFonts w:ascii="宋体" w:hAnsi="宋体"/>
          <w:b/>
          <w:color w:val="000000"/>
          <w:sz w:val="30"/>
        </w:rPr>
      </w:pPr>
      <w:r>
        <w:rPr>
          <w:rFonts w:hint="eastAsia" w:ascii="宋体" w:hAnsi="宋体"/>
          <w:color w:val="000000"/>
        </w:rPr>
        <w:t>附件</w:t>
      </w:r>
      <w:r>
        <w:rPr>
          <w:rFonts w:hint="eastAsia" w:ascii="宋体" w:hAnsi="宋体"/>
          <w:color w:val="000000"/>
          <w:lang w:val="en-US" w:eastAsia="zh-CN"/>
        </w:rPr>
        <w:t>3</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sz w:val="24"/>
          <w:u w:val="single"/>
          <w:lang w:val="en-US" w:eastAsia="zh-CN"/>
        </w:rPr>
        <w:t>花襄·里项目6月零星材料采购</w:t>
      </w:r>
      <w:r>
        <w:rPr>
          <w:rFonts w:hint="eastAsia" w:ascii="宋体" w:hAnsi="宋体"/>
          <w:color w:val="FF0000"/>
          <w:kern w:val="0"/>
          <w:sz w:val="24"/>
          <w:u w:val="single"/>
          <w:lang w:val="en-US" w:eastAsia="zh-CN"/>
        </w:rPr>
        <w:t>）</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52748104"/>
      <w:bookmarkStart w:id="9" w:name="_Toc134953396"/>
      <w:bookmarkStart w:id="10" w:name="_Toc156059747"/>
      <w:bookmarkStart w:id="11" w:name="_Toc138581214"/>
      <w:bookmarkStart w:id="12" w:name="_Toc282613287"/>
      <w:bookmarkStart w:id="13" w:name="_Toc138581133"/>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5"/>
        <w:spacing w:line="580" w:lineRule="exact"/>
        <w:ind w:left="0" w:leftChars="0" w:firstLine="0" w:firstLineChars="0"/>
        <w:rPr>
          <w:rFonts w:ascii="方正小标宋简体" w:hAnsi="宋体" w:eastAsia="方正小标宋简体"/>
          <w:color w:val="0D0D0D"/>
          <w:sz w:val="44"/>
          <w:szCs w:val="44"/>
        </w:rPr>
      </w:pPr>
    </w:p>
    <w:p>
      <w:pPr>
        <w:pStyle w:val="5"/>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5"/>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 xml:space="preserve">    </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5"/>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（竞价人公司名称）</w:t>
      </w:r>
      <w:r>
        <w:rPr>
          <w:rFonts w:hint="eastAsia" w:hAnsi="宋体"/>
          <w:color w:val="0D0D0D"/>
          <w:sz w:val="24"/>
        </w:rPr>
        <w:t>参加</w:t>
      </w:r>
      <w:r>
        <w:rPr>
          <w:rFonts w:hint="eastAsia" w:ascii="宋体" w:hAnsi="宋体"/>
          <w:color w:val="FF0000"/>
          <w:sz w:val="24"/>
          <w:u w:val="single"/>
          <w:lang w:val="en-US" w:eastAsia="zh-CN"/>
        </w:rPr>
        <w:t>花襄·里项目6月零星材料采购</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spacing w:line="500" w:lineRule="exact"/>
        <w:jc w:val="left"/>
        <w:rPr>
          <w:rFonts w:hint="eastAsia" w:ascii="Times New Roman" w:hAnsi="宋体" w:eastAsia="宋体" w:cs="Times New Roman"/>
          <w:color w:val="0D0D0D"/>
          <w:kern w:val="2"/>
          <w:sz w:val="24"/>
          <w:szCs w:val="24"/>
          <w:lang w:val="en-US" w:eastAsia="zh-CN" w:bidi="ar-SA"/>
        </w:rPr>
      </w:pPr>
      <w:r>
        <w:rPr>
          <w:rFonts w:hint="eastAsia" w:hAnsi="宋体" w:cs="Times New Roman"/>
          <w:color w:val="0D0D0D"/>
          <w:kern w:val="2"/>
          <w:sz w:val="24"/>
          <w:szCs w:val="24"/>
          <w:lang w:val="en-US" w:eastAsia="zh-CN" w:bidi="ar-SA"/>
        </w:rPr>
        <w:t>（一</w:t>
      </w:r>
      <w:r>
        <w:rPr>
          <w:rFonts w:hint="eastAsia" w:ascii="Times New Roman" w:hAnsi="宋体" w:eastAsia="宋体" w:cs="Times New Roman"/>
          <w:color w:val="0D0D0D"/>
          <w:kern w:val="2"/>
          <w:sz w:val="24"/>
          <w:szCs w:val="24"/>
          <w:lang w:val="en-US" w:eastAsia="zh-CN" w:bidi="ar-SA"/>
        </w:rPr>
        <w:t>）具有独立承担民事责任的能力；</w:t>
      </w:r>
    </w:p>
    <w:p>
      <w:pPr>
        <w:spacing w:line="500" w:lineRule="exact"/>
        <w:jc w:val="left"/>
        <w:rPr>
          <w:rFonts w:hint="eastAsia" w:ascii="Times New Roman" w:hAnsi="宋体" w:eastAsia="宋体" w:cs="Times New Roman"/>
          <w:color w:val="0D0D0D"/>
          <w:kern w:val="2"/>
          <w:sz w:val="24"/>
          <w:szCs w:val="24"/>
          <w:lang w:val="en-US" w:eastAsia="zh-CN" w:bidi="ar-SA"/>
        </w:rPr>
      </w:pPr>
      <w:r>
        <w:rPr>
          <w:rFonts w:hint="eastAsia" w:ascii="Times New Roman" w:hAnsi="宋体" w:eastAsia="宋体" w:cs="Times New Roman"/>
          <w:color w:val="0D0D0D"/>
          <w:kern w:val="2"/>
          <w:sz w:val="24"/>
          <w:szCs w:val="24"/>
          <w:lang w:val="en-US" w:eastAsia="zh-CN" w:bidi="ar-SA"/>
        </w:rPr>
        <w:t>（</w:t>
      </w:r>
      <w:r>
        <w:rPr>
          <w:rFonts w:hint="eastAsia" w:hAnsi="宋体" w:cs="Times New Roman"/>
          <w:color w:val="0D0D0D"/>
          <w:kern w:val="2"/>
          <w:sz w:val="24"/>
          <w:szCs w:val="24"/>
          <w:lang w:val="en-US" w:eastAsia="zh-CN" w:bidi="ar-SA"/>
        </w:rPr>
        <w:t>二</w:t>
      </w:r>
      <w:r>
        <w:rPr>
          <w:rFonts w:hint="eastAsia" w:ascii="Times New Roman" w:hAnsi="宋体" w:eastAsia="宋体" w:cs="Times New Roman"/>
          <w:color w:val="0D0D0D"/>
          <w:kern w:val="2"/>
          <w:sz w:val="24"/>
          <w:szCs w:val="24"/>
          <w:lang w:val="en-US" w:eastAsia="zh-CN" w:bidi="ar-SA"/>
        </w:rPr>
        <w:t>）具有良好的商业信誉；</w:t>
      </w:r>
    </w:p>
    <w:p>
      <w:pPr>
        <w:spacing w:line="500" w:lineRule="exact"/>
        <w:jc w:val="left"/>
        <w:rPr>
          <w:rFonts w:hint="eastAsia" w:ascii="Times New Roman" w:hAnsi="宋体" w:eastAsia="宋体" w:cs="Times New Roman"/>
          <w:color w:val="0D0D0D"/>
          <w:kern w:val="2"/>
          <w:sz w:val="24"/>
          <w:szCs w:val="24"/>
          <w:lang w:val="en-US" w:eastAsia="zh-CN" w:bidi="ar-SA"/>
        </w:rPr>
      </w:pPr>
      <w:r>
        <w:rPr>
          <w:rFonts w:hint="eastAsia" w:ascii="Times New Roman" w:hAnsi="宋体" w:eastAsia="宋体" w:cs="Times New Roman"/>
          <w:color w:val="0D0D0D"/>
          <w:kern w:val="2"/>
          <w:sz w:val="24"/>
          <w:szCs w:val="24"/>
          <w:lang w:val="en-US" w:eastAsia="zh-CN" w:bidi="ar-SA"/>
        </w:rPr>
        <w:t>（</w:t>
      </w:r>
      <w:r>
        <w:rPr>
          <w:rFonts w:hint="eastAsia" w:hAnsi="宋体" w:cs="Times New Roman"/>
          <w:color w:val="0D0D0D"/>
          <w:kern w:val="2"/>
          <w:sz w:val="24"/>
          <w:szCs w:val="24"/>
          <w:lang w:val="en-US" w:eastAsia="zh-CN" w:bidi="ar-SA"/>
        </w:rPr>
        <w:t>三</w:t>
      </w:r>
      <w:r>
        <w:rPr>
          <w:rFonts w:hint="eastAsia" w:ascii="Times New Roman" w:hAnsi="宋体" w:eastAsia="宋体" w:cs="Times New Roman"/>
          <w:color w:val="0D0D0D"/>
          <w:kern w:val="2"/>
          <w:sz w:val="24"/>
          <w:szCs w:val="24"/>
          <w:lang w:val="en-US" w:eastAsia="zh-CN" w:bidi="ar-SA"/>
        </w:rPr>
        <w:t>）具有履行合同所必需的条件和能力；</w:t>
      </w:r>
    </w:p>
    <w:p>
      <w:pPr>
        <w:spacing w:line="500" w:lineRule="exact"/>
        <w:jc w:val="left"/>
        <w:rPr>
          <w:rFonts w:hint="eastAsia" w:ascii="Times New Roman" w:hAnsi="宋体" w:eastAsia="宋体" w:cs="Times New Roman"/>
          <w:color w:val="0D0D0D"/>
          <w:kern w:val="2"/>
          <w:sz w:val="24"/>
          <w:szCs w:val="24"/>
          <w:lang w:val="en-US" w:eastAsia="zh-CN" w:bidi="ar-SA"/>
        </w:rPr>
      </w:pPr>
      <w:r>
        <w:rPr>
          <w:rFonts w:hint="eastAsia" w:ascii="Times New Roman" w:hAnsi="宋体" w:eastAsia="宋体" w:cs="Times New Roman"/>
          <w:color w:val="0D0D0D"/>
          <w:kern w:val="2"/>
          <w:sz w:val="24"/>
          <w:szCs w:val="24"/>
          <w:lang w:val="en-US" w:eastAsia="zh-CN" w:bidi="ar-SA"/>
        </w:rPr>
        <w:t>（</w:t>
      </w:r>
      <w:r>
        <w:rPr>
          <w:rFonts w:hint="eastAsia" w:hAnsi="宋体" w:cs="Times New Roman"/>
          <w:color w:val="0D0D0D"/>
          <w:kern w:val="2"/>
          <w:sz w:val="24"/>
          <w:szCs w:val="24"/>
          <w:lang w:val="en-US" w:eastAsia="zh-CN" w:bidi="ar-SA"/>
        </w:rPr>
        <w:t>四</w:t>
      </w:r>
      <w:r>
        <w:rPr>
          <w:rFonts w:hint="eastAsia" w:ascii="Times New Roman" w:hAnsi="宋体" w:eastAsia="宋体" w:cs="Times New Roman"/>
          <w:color w:val="0D0D0D"/>
          <w:kern w:val="2"/>
          <w:sz w:val="24"/>
          <w:szCs w:val="24"/>
          <w:lang w:val="en-US" w:eastAsia="zh-CN" w:bidi="ar-SA"/>
        </w:rPr>
        <w:t>）有依法缴纳税收和社会保障资金的良好记录；</w:t>
      </w:r>
    </w:p>
    <w:p>
      <w:pPr>
        <w:pStyle w:val="4"/>
        <w:rPr>
          <w:rFonts w:hint="eastAsia" w:ascii="Times New Roman" w:hAnsi="宋体" w:eastAsia="宋体" w:cs="Times New Roman"/>
          <w:color w:val="0D0D0D"/>
          <w:kern w:val="2"/>
          <w:sz w:val="24"/>
          <w:szCs w:val="24"/>
          <w:lang w:val="en-US" w:eastAsia="zh-CN" w:bidi="ar-SA"/>
        </w:rPr>
      </w:pPr>
      <w:r>
        <w:rPr>
          <w:rFonts w:hint="eastAsia" w:ascii="Times New Roman" w:hAnsi="宋体" w:eastAsia="宋体" w:cs="Times New Roman"/>
          <w:color w:val="0D0D0D"/>
          <w:kern w:val="2"/>
          <w:sz w:val="24"/>
          <w:szCs w:val="24"/>
          <w:lang w:val="en-US" w:eastAsia="zh-CN" w:bidi="ar-SA"/>
        </w:rPr>
        <w:t>（</w:t>
      </w:r>
      <w:r>
        <w:rPr>
          <w:rFonts w:hint="eastAsia" w:hAnsi="宋体" w:cs="Times New Roman"/>
          <w:color w:val="0D0D0D"/>
          <w:kern w:val="2"/>
          <w:sz w:val="24"/>
          <w:szCs w:val="24"/>
          <w:lang w:val="en-US" w:eastAsia="zh-CN" w:bidi="ar-SA"/>
        </w:rPr>
        <w:t>五</w:t>
      </w:r>
      <w:r>
        <w:rPr>
          <w:rFonts w:hint="eastAsia" w:ascii="Times New Roman" w:hAnsi="宋体" w:eastAsia="宋体" w:cs="Times New Roman"/>
          <w:color w:val="0D0D0D"/>
          <w:kern w:val="2"/>
          <w:sz w:val="24"/>
          <w:szCs w:val="24"/>
          <w:lang w:val="en-US" w:eastAsia="zh-CN" w:bidi="ar-SA"/>
        </w:rPr>
        <w:t>）参加本次竞价前三年内，在经营活动中没有重大违法记录；</w:t>
      </w:r>
    </w:p>
    <w:p>
      <w:pPr>
        <w:pStyle w:val="4"/>
        <w:rPr>
          <w:rFonts w:hint="eastAsia" w:ascii="Times New Roman" w:hAnsi="宋体" w:eastAsia="宋体" w:cs="Times New Roman"/>
          <w:color w:val="0D0D0D"/>
          <w:kern w:val="2"/>
          <w:sz w:val="24"/>
          <w:szCs w:val="24"/>
          <w:lang w:val="en-US" w:eastAsia="zh-CN" w:bidi="ar-SA"/>
        </w:rPr>
      </w:pPr>
      <w:r>
        <w:rPr>
          <w:rFonts w:hint="eastAsia" w:ascii="Times New Roman" w:hAnsi="宋体" w:eastAsia="宋体" w:cs="Times New Roman"/>
          <w:color w:val="0D0D0D"/>
          <w:kern w:val="2"/>
          <w:sz w:val="24"/>
          <w:szCs w:val="24"/>
          <w:lang w:val="en-US" w:eastAsia="zh-CN" w:bidi="ar-SA"/>
        </w:rPr>
        <w:t>（</w:t>
      </w:r>
      <w:r>
        <w:rPr>
          <w:rFonts w:hint="eastAsia" w:hAnsi="宋体" w:cs="Times New Roman"/>
          <w:color w:val="0D0D0D"/>
          <w:kern w:val="2"/>
          <w:sz w:val="24"/>
          <w:szCs w:val="24"/>
          <w:lang w:val="en-US" w:eastAsia="zh-CN" w:bidi="ar-SA"/>
        </w:rPr>
        <w:t>六</w:t>
      </w:r>
      <w:r>
        <w:rPr>
          <w:rFonts w:hint="eastAsia" w:ascii="Times New Roman" w:hAnsi="宋体" w:eastAsia="宋体" w:cs="Times New Roman"/>
          <w:color w:val="0D0D0D"/>
          <w:kern w:val="2"/>
          <w:sz w:val="24"/>
          <w:szCs w:val="24"/>
          <w:lang w:val="en-US" w:eastAsia="zh-CN" w:bidi="ar-SA"/>
        </w:rPr>
        <w:t>）递交的投标文件所有材料均真实有效，且与本次竞价其他投标人无关联；</w:t>
      </w:r>
    </w:p>
    <w:p>
      <w:pPr>
        <w:pStyle w:val="5"/>
        <w:spacing w:after="0" w:line="500" w:lineRule="exact"/>
        <w:ind w:left="0" w:leftChars="0" w:firstLine="0" w:firstLineChars="0"/>
        <w:rPr>
          <w:rFonts w:hAnsi="宋体"/>
          <w:color w:val="0D0D0D"/>
          <w:sz w:val="24"/>
        </w:rPr>
      </w:pPr>
      <w:r>
        <w:rPr>
          <w:rFonts w:hint="eastAsia" w:ascii="Times New Roman" w:hAnsi="宋体" w:eastAsia="宋体" w:cs="Times New Roman"/>
          <w:color w:val="0D0D0D"/>
          <w:kern w:val="2"/>
          <w:sz w:val="24"/>
          <w:szCs w:val="24"/>
          <w:lang w:val="en-US" w:eastAsia="zh-CN" w:bidi="ar-SA"/>
        </w:rPr>
        <w:t>（</w:t>
      </w:r>
      <w:r>
        <w:rPr>
          <w:rFonts w:hint="eastAsia" w:hAnsi="宋体" w:cs="Times New Roman"/>
          <w:color w:val="0D0D0D"/>
          <w:kern w:val="2"/>
          <w:sz w:val="24"/>
          <w:szCs w:val="24"/>
          <w:lang w:val="en-US" w:eastAsia="zh-CN" w:bidi="ar-SA"/>
        </w:rPr>
        <w:t>七</w:t>
      </w:r>
      <w:r>
        <w:rPr>
          <w:rFonts w:hint="eastAsia" w:ascii="Times New Roman" w:hAnsi="宋体" w:eastAsia="宋体" w:cs="Times New Roman"/>
          <w:color w:val="0D0D0D"/>
          <w:kern w:val="2"/>
          <w:sz w:val="24"/>
          <w:szCs w:val="24"/>
          <w:lang w:val="en-US" w:eastAsia="zh-CN" w:bidi="ar-SA"/>
        </w:rPr>
        <w:t>）满足法律、行政法规规定的其他条件，不属于禁止参加的供应商</w:t>
      </w:r>
      <w:r>
        <w:rPr>
          <w:rFonts w:hint="eastAsia"/>
          <w:lang w:eastAsia="zh-CN"/>
        </w:rPr>
        <w:t>；</w:t>
      </w: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w:t>
      </w:r>
      <w:r>
        <w:rPr>
          <w:rFonts w:hint="eastAsia" w:hAnsi="宋体" w:cs="Times New Roman"/>
          <w:color w:val="0D0D0D"/>
          <w:sz w:val="24"/>
          <w:lang w:val="en-US" w:eastAsia="zh-CN"/>
        </w:rPr>
        <w:t>采购</w:t>
      </w:r>
      <w:r>
        <w:rPr>
          <w:rFonts w:hint="eastAsia" w:ascii="Times New Roman" w:hAnsi="宋体" w:eastAsia="宋体" w:cs="Times New Roman"/>
          <w:color w:val="0D0D0D"/>
          <w:sz w:val="24"/>
        </w:rPr>
        <w:t>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5"/>
        <w:spacing w:after="0" w:line="500" w:lineRule="exact"/>
        <w:ind w:firstLine="432"/>
        <w:rPr>
          <w:rFonts w:hAnsi="宋体"/>
          <w:color w:val="0D0D0D"/>
          <w:sz w:val="24"/>
        </w:rPr>
      </w:pPr>
    </w:p>
    <w:p>
      <w:pPr>
        <w:pStyle w:val="5"/>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p>
      <w:pPr>
        <w:spacing w:before="120" w:after="120"/>
        <w:rPr>
          <w:rFonts w:ascii="宋体" w:hAnsi="宋体"/>
          <w:color w:val="FF0000"/>
          <w:sz w:val="24"/>
        </w:rPr>
      </w:pPr>
    </w:p>
    <w:bookmarkEnd w:id="8"/>
    <w:bookmarkEnd w:id="9"/>
    <w:bookmarkEnd w:id="10"/>
    <w:bookmarkEnd w:id="11"/>
    <w:bookmarkEnd w:id="12"/>
    <w:bookmarkEnd w:id="13"/>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default" w:ascii="Calibri" w:hAnsi="Calibri" w:eastAsia="宋体" w:cs="Times New Roman"/>
          <w:kern w:val="2"/>
          <w:sz w:val="21"/>
          <w:szCs w:val="24"/>
          <w:lang w:val="en-US" w:eastAsia="zh-CN" w:bidi="ar-SA"/>
        </w:rPr>
      </w:pPr>
      <w:r>
        <w:rPr>
          <w:rFonts w:hint="eastAsia"/>
          <w:lang w:val="en-US" w:eastAsia="zh-CN"/>
        </w:rPr>
        <w:t>附件5</w:t>
      </w:r>
    </w:p>
    <w:p>
      <w:pPr>
        <w:spacing w:line="520" w:lineRule="exact"/>
        <w:ind w:firstLine="643" w:firstLineChars="200"/>
        <w:jc w:val="center"/>
        <w:rPr>
          <w:rFonts w:hint="eastAsia"/>
          <w:b/>
          <w:bCs/>
          <w:color w:val="FF0000"/>
          <w:sz w:val="32"/>
          <w:szCs w:val="32"/>
          <w:lang w:val="en-US" w:eastAsia="zh-CN"/>
        </w:rPr>
      </w:pPr>
      <w:r>
        <w:rPr>
          <w:rFonts w:hint="eastAsia"/>
          <w:b/>
          <w:bCs/>
          <w:color w:val="FF0000"/>
          <w:sz w:val="32"/>
          <w:szCs w:val="32"/>
          <w:lang w:val="en-US" w:eastAsia="zh-CN"/>
        </w:rPr>
        <w:t>供应商自 2022年 1 月 1 日以来至今签订的与本次采购内容有关且金额不低于36万的业绩（1、含 2022 年 1 月 1 日，以签订合同时间为准，2、须提供不少于1个合同，3、采购内容有关是指“建筑材料”，4、合同金额是指单个合同签订的金额，若合同未能体现金额的须提供相关结算资料证明）。</w:t>
      </w:r>
    </w:p>
    <w:p>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4"/>
        <w:jc w:val="left"/>
        <w:rPr>
          <w:rFonts w:hint="eastAsia" w:ascii="Calibri" w:hAnsi="Calibri" w:eastAsia="宋体" w:cs="Times New Roman"/>
          <w:kern w:val="2"/>
          <w:sz w:val="21"/>
          <w:szCs w:val="24"/>
          <w:lang w:val="en-US" w:eastAsia="zh-CN" w:bidi="ar-SA"/>
        </w:rPr>
      </w:pPr>
    </w:p>
    <w:p>
      <w:pPr>
        <w:pStyle w:val="4"/>
        <w:jc w:val="left"/>
        <w:rPr>
          <w:rFonts w:hint="eastAsia" w:ascii="Calibri" w:hAnsi="Calibri" w:eastAsia="宋体" w:cs="Times New Roman"/>
          <w:kern w:val="2"/>
          <w:sz w:val="21"/>
          <w:szCs w:val="24"/>
          <w:lang w:val="en-US" w:eastAsia="zh-CN" w:bidi="ar-SA"/>
        </w:rPr>
      </w:pPr>
    </w:p>
    <w:p>
      <w:pPr>
        <w:pStyle w:val="4"/>
        <w:jc w:val="left"/>
        <w:rPr>
          <w:rFonts w:hint="eastAsia" w:ascii="Calibri" w:hAnsi="Calibri" w:eastAsia="宋体" w:cs="Times New Roman"/>
          <w:kern w:val="2"/>
          <w:sz w:val="21"/>
          <w:szCs w:val="24"/>
          <w:lang w:val="en-US" w:eastAsia="zh-CN" w:bidi="ar-SA"/>
        </w:rPr>
      </w:pPr>
    </w:p>
    <w:p>
      <w:pPr>
        <w:pStyle w:val="4"/>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ascii="Calibri" w:hAnsi="Calibri" w:cs="Times New Roman"/>
          <w:kern w:val="2"/>
          <w:sz w:val="21"/>
          <w:szCs w:val="24"/>
          <w:lang w:val="en-US" w:eastAsia="zh-CN" w:bidi="ar-SA"/>
        </w:rPr>
        <w:t>6</w:t>
      </w:r>
    </w:p>
    <w:p>
      <w:pPr>
        <w:pStyle w:val="4"/>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p/>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C75B8A"/>
    <w:multiLevelType w:val="singleLevel"/>
    <w:tmpl w:val="EDC75B8A"/>
    <w:lvl w:ilvl="0" w:tentative="0">
      <w:start w:val="1"/>
      <w:numFmt w:val="chineseCounting"/>
      <w:suff w:val="nothing"/>
      <w:lvlText w:val="（%1）"/>
      <w:lvlJc w:val="left"/>
      <w:rPr>
        <w:rFonts w:hint="eastAsia"/>
      </w:rPr>
    </w:lvl>
  </w:abstractNum>
  <w:abstractNum w:abstractNumId="1">
    <w:nsid w:val="F8EF30A5"/>
    <w:multiLevelType w:val="singleLevel"/>
    <w:tmpl w:val="F8EF30A5"/>
    <w:lvl w:ilvl="0" w:tentative="0">
      <w:start w:val="1"/>
      <w:numFmt w:val="decimal"/>
      <w:suff w:val="nothing"/>
      <w:lvlText w:val="%1、"/>
      <w:lvlJc w:val="left"/>
    </w:lvl>
  </w:abstractNum>
  <w:abstractNum w:abstractNumId="2">
    <w:nsid w:val="F9FDE95F"/>
    <w:multiLevelType w:val="singleLevel"/>
    <w:tmpl w:val="F9FDE95F"/>
    <w:lvl w:ilvl="0" w:tentative="0">
      <w:start w:val="1"/>
      <w:numFmt w:val="decimal"/>
      <w:suff w:val="nothing"/>
      <w:lvlText w:val="%1、"/>
      <w:lvlJc w:val="left"/>
    </w:lvl>
  </w:abstractNum>
  <w:abstractNum w:abstractNumId="3">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4">
    <w:nsid w:val="6A46156F"/>
    <w:multiLevelType w:val="singleLevel"/>
    <w:tmpl w:val="6A46156F"/>
    <w:lvl w:ilvl="0" w:tentative="0">
      <w:start w:val="1"/>
      <w:numFmt w:val="decimal"/>
      <w:lvlText w:val="%1."/>
      <w:lvlJc w:val="left"/>
      <w:pPr>
        <w:tabs>
          <w:tab w:val="left" w:pos="312"/>
        </w:tabs>
      </w:p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lNzI3YWI5ODU5ZTk1YjNjOWVjZjlmMjdjN2ZmZmMifQ=="/>
  </w:docVars>
  <w:rsids>
    <w:rsidRoot w:val="00000000"/>
    <w:rsid w:val="099512B1"/>
    <w:rsid w:val="0CCE4E7D"/>
    <w:rsid w:val="1D833000"/>
    <w:rsid w:val="219F5298"/>
    <w:rsid w:val="2C442A72"/>
    <w:rsid w:val="37C31FF7"/>
    <w:rsid w:val="38C52691"/>
    <w:rsid w:val="3FB3156E"/>
    <w:rsid w:val="46345203"/>
    <w:rsid w:val="4DB50D4B"/>
    <w:rsid w:val="6BDD1CDA"/>
    <w:rsid w:val="6DCD73EF"/>
    <w:rsid w:val="6F32629F"/>
    <w:rsid w:val="720849EF"/>
    <w:rsid w:val="747F4B0A"/>
    <w:rsid w:val="7EC31051"/>
    <w:rsid w:val="7F2054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customStyle="1" w:styleId="2">
    <w:name w:val="标题 5（有编号）（绿盟科技）"/>
    <w:basedOn w:val="1"/>
    <w:next w:val="3"/>
    <w:autoRedefine/>
    <w:qFormat/>
    <w:uiPriority w:val="0"/>
    <w:pPr>
      <w:keepNext/>
      <w:keepLines/>
      <w:numPr>
        <w:ilvl w:val="4"/>
        <w:numId w:val="1"/>
      </w:numPr>
      <w:spacing w:before="280" w:after="156" w:line="377" w:lineRule="auto"/>
      <w:jc w:val="left"/>
      <w:outlineLvl w:val="4"/>
    </w:pPr>
    <w:rPr>
      <w:rFonts w:ascii="Arial" w:hAnsi="Arial" w:eastAsia="黑体"/>
      <w:b/>
      <w:kern w:val="0"/>
      <w:sz w:val="24"/>
      <w:szCs w:val="28"/>
    </w:rPr>
  </w:style>
  <w:style w:type="paragraph" w:customStyle="1" w:styleId="3">
    <w:name w:val="正文（绿盟科技）"/>
    <w:autoRedefine/>
    <w:qFormat/>
    <w:uiPriority w:val="0"/>
    <w:pPr>
      <w:spacing w:line="300" w:lineRule="auto"/>
    </w:pPr>
    <w:rPr>
      <w:rFonts w:ascii="Arial" w:hAnsi="Arial" w:eastAsia="宋体" w:cs="黑体"/>
      <w:sz w:val="21"/>
      <w:szCs w:val="21"/>
      <w:lang w:val="en-US" w:eastAsia="zh-CN" w:bidi="ar-SA"/>
    </w:rPr>
  </w:style>
  <w:style w:type="paragraph" w:styleId="4">
    <w:name w:val="Body Text"/>
    <w:basedOn w:val="1"/>
    <w:next w:val="1"/>
    <w:autoRedefine/>
    <w:qFormat/>
    <w:uiPriority w:val="0"/>
    <w:pPr>
      <w:suppressAutoHyphens/>
      <w:spacing w:after="120"/>
    </w:pPr>
    <w:rPr>
      <w:kern w:val="1"/>
      <w:szCs w:val="20"/>
      <w:lang w:eastAsia="ar-SA"/>
    </w:rPr>
  </w:style>
  <w:style w:type="paragraph" w:styleId="5">
    <w:name w:val="Body Text Indent"/>
    <w:basedOn w:val="1"/>
    <w:next w:val="1"/>
    <w:autoRedefine/>
    <w:qFormat/>
    <w:uiPriority w:val="0"/>
    <w:pPr>
      <w:spacing w:line="500" w:lineRule="exact"/>
      <w:ind w:firstLine="560" w:firstLineChars="200"/>
    </w:pPr>
    <w:rPr>
      <w:sz w:val="28"/>
    </w:rPr>
  </w:style>
  <w:style w:type="paragraph" w:styleId="6">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7">
    <w:name w:val="Plain Text"/>
    <w:basedOn w:val="1"/>
    <w:autoRedefine/>
    <w:qFormat/>
    <w:uiPriority w:val="0"/>
    <w:rPr>
      <w:rFonts w:hint="eastAsia" w:ascii="宋体" w:hAnsi="Courier New" w:eastAsia="仿宋_GB2312"/>
      <w:sz w:val="10"/>
      <w:szCs w:val="20"/>
    </w:rPr>
  </w:style>
  <w:style w:type="paragraph" w:styleId="8">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9">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0">
    <w:name w:val="Body Text First Indent 2"/>
    <w:basedOn w:val="5"/>
    <w:autoRedefine/>
    <w:qFormat/>
    <w:uiPriority w:val="0"/>
    <w:pPr>
      <w:ind w:firstLine="20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4825</Words>
  <Characters>4935</Characters>
  <Lines>0</Lines>
  <Paragraphs>0</Paragraphs>
  <TotalTime>4</TotalTime>
  <ScaleCrop>false</ScaleCrop>
  <LinksUpToDate>false</LinksUpToDate>
  <CharactersWithSpaces>5755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2024-05-16T00:47:00Z</dcterms:created>
  <dc:creator>Administrator</dc:creator>
  <cp:lastModifiedBy>Administrator</cp:lastModifiedBy>
  <dcterms:modified xsi:type="dcterms:W3CDTF">2024-05-30T01:34:32Z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B1D0FC57D5EE46AC9AC0EBD249FCD4F6_13</vt:lpwstr>
  </property>
</Properties>
</file>