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储备项目售楼处、样板房设计服务采购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bCs w:val="0"/>
                <w:color w:val="000000"/>
                <w:szCs w:val="21"/>
                <w:lang w:val="en-US" w:eastAsia="zh-CN"/>
              </w:rPr>
              <w:t>储备项目售楼处、样板房设计服务采购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 xml:space="preserve">杨先生 </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储备</w:t>
            </w:r>
            <w:r>
              <w:rPr>
                <w:rFonts w:hint="eastAsia" w:ascii="宋体" w:hAnsi="宋体"/>
                <w:b w:val="0"/>
                <w:bCs/>
                <w:color w:val="000000"/>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FF0000"/>
                <w:szCs w:val="21"/>
                <w:lang w:val="en-US" w:eastAsia="zh-CN"/>
              </w:rPr>
              <w:t>储备项目售楼处、样板房设计，具体详见采购清单。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工期：15</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符合现行国家有关工程施工设计验收规范和标准要求合格标准。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lang w:val="en-US" w:eastAsia="zh-CN"/>
              </w:rPr>
              <w:t>持有经工商行政管理部门登记注册的合法有效营业执照，</w:t>
            </w:r>
            <w:r>
              <w:rPr>
                <w:rFonts w:hint="eastAsia"/>
                <w:color w:val="FF0000"/>
                <w:lang w:val="en-US" w:eastAsia="zh-CN"/>
              </w:rPr>
              <w:t>并具备行政主管部门颁发的建筑行业（建筑工程）专业乙级及以上设计资质</w:t>
            </w:r>
            <w:r>
              <w:rPr>
                <w:rFonts w:hint="eastAsia"/>
                <w:lang w:val="en-US" w:eastAsia="zh-CN"/>
              </w:rPr>
              <w:t>。</w:t>
            </w:r>
          </w:p>
          <w:p>
            <w:pPr>
              <w:spacing w:line="500" w:lineRule="exact"/>
              <w:jc w:val="left"/>
              <w:rPr>
                <w:rFonts w:hint="eastAsia"/>
                <w:lang w:val="en-US" w:eastAsia="zh-CN"/>
              </w:rPr>
            </w:pPr>
            <w:r>
              <w:rPr>
                <w:rFonts w:hint="eastAsia"/>
                <w:lang w:val="en-US" w:eastAsia="zh-CN"/>
              </w:rPr>
              <w:t>（二）资格要求</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6</w:t>
            </w:r>
            <w:r>
              <w:rPr>
                <w:rFonts w:hint="eastAsia" w:ascii="宋体" w:hAnsi="宋体"/>
                <w:b/>
                <w:bCs w:val="0"/>
                <w:color w:val="000000"/>
                <w:szCs w:val="21"/>
              </w:rPr>
              <w:t>月</w:t>
            </w:r>
            <w:r>
              <w:rPr>
                <w:rFonts w:hint="eastAsia" w:ascii="宋体" w:hAnsi="宋体"/>
                <w:b/>
                <w:bCs w:val="0"/>
                <w:color w:val="000000"/>
                <w:szCs w:val="21"/>
                <w:lang w:val="en-US" w:eastAsia="zh-CN"/>
              </w:rPr>
              <w:t>14</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6</w:t>
            </w:r>
            <w:r>
              <w:rPr>
                <w:rFonts w:hint="eastAsia" w:ascii="宋体" w:hAnsi="宋体"/>
                <w:b/>
                <w:bCs w:val="0"/>
                <w:color w:val="000000"/>
                <w:szCs w:val="21"/>
              </w:rPr>
              <w:t>月</w:t>
            </w:r>
            <w:r>
              <w:rPr>
                <w:rFonts w:hint="eastAsia" w:ascii="宋体" w:hAnsi="宋体"/>
                <w:b/>
                <w:bCs w:val="0"/>
                <w:color w:val="000000"/>
                <w:szCs w:val="21"/>
                <w:lang w:val="en-US" w:eastAsia="zh-CN"/>
              </w:rPr>
              <w:t>18</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keepNext w:val="0"/>
              <w:keepLines w:val="0"/>
              <w:pageBreakBefore w:val="0"/>
              <w:widowControl w:val="0"/>
              <w:tabs>
                <w:tab w:val="left" w:pos="458"/>
              </w:tabs>
              <w:kinsoku/>
              <w:wordWrap/>
              <w:overflowPunct/>
              <w:topLinePunct w:val="0"/>
              <w:autoSpaceDE/>
              <w:autoSpaceDN/>
              <w:bidi w:val="0"/>
              <w:adjustRightInd/>
              <w:snapToGrid/>
              <w:spacing w:line="240" w:lineRule="auto"/>
              <w:ind w:firstLine="210" w:firstLineChars="100"/>
              <w:textAlignment w:val="auto"/>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不含税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232000.00</w:t>
            </w:r>
            <w:r>
              <w:rPr>
                <w:rFonts w:hint="eastAsia" w:ascii="宋体" w:hAnsi="宋体" w:eastAsia="宋体" w:cs="宋体"/>
                <w:b/>
                <w:bCs/>
                <w:color w:val="FF0000"/>
                <w:sz w:val="21"/>
                <w:szCs w:val="21"/>
                <w:u w:val="single"/>
                <w:lang w:val="en-US" w:eastAsia="zh-CN"/>
              </w:rPr>
              <w:t xml:space="preserve">元 </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不含税最高限价及控制单价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竞价响应函；2、报价函及采购清单；3、法定代表人身份证明或授权委托书；4、承诺函；5、设计方案：包含本项目平面方案、效果图、全景图</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，报价包含全案设计、设计服务内容、利润、税费、风险等全部费用，在整个设计期内均不调整单价，具体金额以实际结算金额为准。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6</w:t>
            </w:r>
            <w:r>
              <w:rPr>
                <w:rFonts w:hint="eastAsia"/>
              </w:rPr>
              <w:t>月</w:t>
            </w:r>
            <w:r>
              <w:rPr>
                <w:rFonts w:hint="eastAsia"/>
                <w:lang w:val="en-US" w:eastAsia="zh-CN"/>
              </w:rPr>
              <w:t>19</w:t>
            </w:r>
            <w:r>
              <w:rPr>
                <w:rFonts w:hint="eastAsia"/>
              </w:rPr>
              <w:t>日</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（书面竞价/现场竞价）。</w:t>
            </w:r>
          </w:p>
          <w:p>
            <w:pPr>
              <w:numPr>
                <w:ilvl w:val="0"/>
                <w:numId w:val="0"/>
              </w:numPr>
              <w:rPr>
                <w:rFonts w:hint="eastAsia"/>
                <w:lang w:val="en-US" w:eastAsia="zh-CN"/>
              </w:rPr>
            </w:pPr>
            <w:r>
              <w:rPr>
                <w:rFonts w:hint="eastAsia"/>
                <w:b/>
                <w:bCs/>
                <w:lang w:val="en-US" w:eastAsia="zh-CN"/>
              </w:rPr>
              <w:t>书面竞价：</w:t>
            </w:r>
            <w:r>
              <w:rPr>
                <w:rFonts w:hint="eastAsia"/>
                <w:lang w:val="en-US" w:eastAsia="zh-CN"/>
              </w:rPr>
              <w:t>接受在递交截止时间前通过以下方式递交：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后现场递交至</w:t>
            </w:r>
            <w:r>
              <w:rPr>
                <w:rFonts w:hint="eastAsia"/>
              </w:rPr>
              <w:t>：</w:t>
            </w:r>
            <w:r>
              <w:rPr>
                <w:rFonts w:hint="eastAsia"/>
                <w:b/>
                <w:bCs/>
                <w:color w:val="auto"/>
                <w:lang w:val="en-US" w:eastAsia="zh-CN"/>
              </w:rPr>
              <w:t>雅安城市建设投资开发有限公司一楼（开标室）（地址：雅安市雨城区和兴街1号）</w:t>
            </w:r>
            <w:r>
              <w:rPr>
                <w:rFonts w:hint="eastAsia"/>
                <w:lang w:val="en-US" w:eastAsia="zh-CN"/>
              </w:rPr>
              <w:t>，收件人：</w:t>
            </w:r>
            <w:r>
              <w:rPr>
                <w:rFonts w:hint="eastAsia"/>
                <w:color w:val="FF0000"/>
                <w:u w:val="single"/>
                <w:lang w:val="en-US" w:eastAsia="zh-CN"/>
              </w:rPr>
              <w:t>杨先生</w:t>
            </w:r>
            <w:r>
              <w:rPr>
                <w:rFonts w:hint="eastAsia"/>
                <w:lang w:val="en-US" w:eastAsia="zh-CN"/>
              </w:rPr>
              <w:t>，电话：</w:t>
            </w:r>
            <w:r>
              <w:rPr>
                <w:rFonts w:hint="eastAsia" w:ascii="宋体" w:hAnsi="宋体"/>
                <w:b w:val="0"/>
                <w:bCs/>
                <w:color w:val="FF0000"/>
                <w:szCs w:val="21"/>
                <w:lang w:val="en-US" w:eastAsia="zh-CN"/>
              </w:rPr>
              <w:t>18180355310</w:t>
            </w:r>
            <w:r>
              <w:rPr>
                <w:rFonts w:hint="eastAsia"/>
                <w:lang w:val="en-US" w:eastAsia="zh-CN"/>
              </w:rPr>
              <w:t>。</w:t>
            </w:r>
          </w:p>
          <w:p>
            <w:pPr>
              <w:pStyle w:val="2"/>
              <w:rPr>
                <w:rFonts w:hint="default"/>
                <w:lang w:val="en-US"/>
              </w:rPr>
            </w:pPr>
            <w:r>
              <w:rPr>
                <w:rFonts w:hint="eastAsia" w:ascii="Times New Roman" w:hAnsi="Times New Roman" w:eastAsia="宋体" w:cs="Times New Roman"/>
                <w:kern w:val="2"/>
                <w:sz w:val="21"/>
                <w:szCs w:val="24"/>
                <w:lang w:val="en-US" w:eastAsia="zh-CN" w:bidi="ar-SA"/>
              </w:rPr>
              <w:t>3、供应商获取竞价文件时，请先联系经办人员，以便于更好的为您提供服务</w:t>
            </w:r>
            <w:r>
              <w:rPr>
                <w:rFonts w:hint="eastAsia"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联系电话：</w:t>
            </w:r>
            <w:r>
              <w:rPr>
                <w:rFonts w:hint="eastAsia" w:ascii="宋体" w:hAnsi="宋体"/>
                <w:b w:val="0"/>
                <w:bCs/>
                <w:color w:val="FF0000"/>
                <w:szCs w:val="21"/>
                <w:lang w:val="en-US" w:eastAsia="zh-CN"/>
              </w:rPr>
              <w:t>18180355310</w:t>
            </w:r>
            <w:r>
              <w:rPr>
                <w:rFonts w:hint="eastAsia" w:cs="Times New Roman"/>
                <w:kern w:val="2"/>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eastAsia" w:ascii="宋体" w:hAnsi="宋体" w:eastAsia="宋体"/>
                <w:b w:val="0"/>
                <w:bCs/>
                <w:color w:val="000000"/>
                <w:szCs w:val="21"/>
                <w:lang w:val="en-US" w:eastAsia="zh-CN"/>
              </w:rPr>
            </w:pPr>
            <w:r>
              <w:rPr>
                <w:rFonts w:hint="eastAsia" w:ascii="宋体" w:hAnsi="宋体"/>
                <w:b/>
                <w:bCs w:val="0"/>
                <w:color w:val="FF0000"/>
                <w:szCs w:val="21"/>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jc w:val="center"/>
        <w:rPr>
          <w:rFonts w:hint="eastAsia" w:ascii="黑体" w:hAnsi="黑体" w:eastAsia="黑体"/>
          <w:color w:val="000000"/>
          <w:sz w:val="36"/>
          <w:u w:val="single"/>
          <w:lang w:val="en-US" w:eastAsia="zh-CN"/>
        </w:rPr>
      </w:pPr>
      <w:r>
        <w:rPr>
          <w:rFonts w:hint="eastAsia" w:ascii="黑体" w:hAnsi="黑体" w:eastAsia="黑体"/>
          <w:color w:val="000000"/>
          <w:sz w:val="36"/>
          <w:lang w:eastAsia="zh-CN"/>
        </w:rPr>
        <w:t>采购</w:t>
      </w:r>
      <w:r>
        <w:rPr>
          <w:rFonts w:hint="eastAsia" w:ascii="黑体" w:hAnsi="黑体" w:eastAsia="黑体" w:cs="Times New Roman"/>
          <w:color w:val="000000"/>
          <w:sz w:val="36"/>
          <w:lang w:eastAsia="zh-CN"/>
        </w:rPr>
        <w:t>名称</w:t>
      </w:r>
      <w:r>
        <w:rPr>
          <w:rFonts w:hint="eastAsia" w:ascii="黑体" w:hAnsi="黑体" w:eastAsia="黑体"/>
          <w:color w:val="000000"/>
          <w:sz w:val="36"/>
        </w:rPr>
        <w:t>：</w:t>
      </w:r>
      <w:r>
        <w:rPr>
          <w:rFonts w:hint="eastAsia" w:ascii="黑体" w:hAnsi="黑体" w:eastAsia="黑体" w:cs="Times New Roman"/>
          <w:color w:val="000000"/>
          <w:sz w:val="36"/>
          <w:u w:val="single"/>
          <w:lang w:val="en-US" w:eastAsia="zh-CN"/>
        </w:rPr>
        <w:t>储备项目售楼处、样板房设计</w:t>
      </w:r>
      <w:r>
        <w:rPr>
          <w:rFonts w:hint="eastAsia" w:ascii="黑体" w:hAnsi="黑体" w:eastAsia="黑体"/>
          <w:color w:val="000000"/>
          <w:sz w:val="36"/>
          <w:u w:val="single"/>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eastAsia="zh-CN"/>
        </w:rPr>
        <w:t>雅安城投</w:t>
      </w:r>
      <w:r>
        <w:rPr>
          <w:rFonts w:hint="eastAsia" w:ascii="宋体" w:hAnsi="宋体"/>
          <w:color w:val="FF0000"/>
          <w:sz w:val="24"/>
          <w:u w:val="single"/>
          <w:lang w:val="en-US" w:eastAsia="zh-CN"/>
        </w:rPr>
        <w:t>工匠建设</w:t>
      </w:r>
      <w:r>
        <w:rPr>
          <w:rFonts w:hint="eastAsia" w:ascii="宋体" w:hAnsi="宋体"/>
          <w:color w:val="FF0000"/>
          <w:sz w:val="24"/>
          <w:u w:val="single"/>
          <w:lang w:eastAsia="zh-CN"/>
        </w:rPr>
        <w:t>工程有限公司</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储备项目售楼处、样板房设计采购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设计方案：包含</w:t>
      </w:r>
      <w:r>
        <w:rPr>
          <w:rFonts w:hint="eastAsia" w:ascii="宋体" w:hAnsi="宋体" w:cs="Times New Roman"/>
          <w:color w:val="000000"/>
          <w:sz w:val="24"/>
          <w:lang w:val="en-US" w:eastAsia="zh-CN"/>
        </w:rPr>
        <w:t>本项目</w:t>
      </w:r>
      <w:r>
        <w:rPr>
          <w:rFonts w:hint="eastAsia" w:ascii="宋体" w:hAnsi="宋体" w:eastAsia="宋体" w:cs="Times New Roman"/>
          <w:color w:val="000000"/>
          <w:sz w:val="24"/>
          <w:lang w:val="en-US" w:eastAsia="zh-CN"/>
        </w:rPr>
        <w:t>平面方案、效果图、全景图</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282613285"/>
      <w:bookmarkStart w:id="4" w:name="_Toc132265249"/>
      <w:bookmarkStart w:id="5" w:name="_Toc131305915"/>
      <w:bookmarkStart w:id="6" w:name="_Toc132523466"/>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cs="Times New Roman"/>
          <w:snapToGrid w:val="0"/>
          <w:color w:val="FF0000"/>
          <w:kern w:val="0"/>
          <w:sz w:val="24"/>
          <w:u w:val="single"/>
          <w:lang w:val="en-US"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储备项目售楼处、样板房设计采购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15</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cs="Times New Roman"/>
          <w:snapToGrid w:val="0"/>
          <w:color w:val="FF0000"/>
          <w:kern w:val="0"/>
          <w:sz w:val="24"/>
          <w:u w:val="single"/>
          <w:lang w:val="en-US" w:eastAsia="zh-CN"/>
        </w:rPr>
        <w:t>符合现行国家有关工程施工设计验收规范和标准要求合格标准。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tbl>
      <w:tblPr>
        <w:tblStyle w:val="11"/>
        <w:tblpPr w:leftFromText="180" w:rightFromText="180" w:vertAnchor="text" w:horzAnchor="page" w:tblpX="1142" w:tblpY="180"/>
        <w:tblOverlap w:val="never"/>
        <w:tblW w:w="9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335"/>
        <w:gridCol w:w="1215"/>
        <w:gridCol w:w="540"/>
        <w:gridCol w:w="555"/>
        <w:gridCol w:w="1245"/>
        <w:gridCol w:w="1245"/>
        <w:gridCol w:w="1050"/>
        <w:gridCol w:w="1065"/>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序列</w:t>
            </w:r>
          </w:p>
        </w:tc>
        <w:tc>
          <w:tcPr>
            <w:tcW w:w="133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项目名称</w:t>
            </w:r>
          </w:p>
        </w:tc>
        <w:tc>
          <w:tcPr>
            <w:tcW w:w="121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服务内容</w:t>
            </w:r>
          </w:p>
        </w:tc>
        <w:tc>
          <w:tcPr>
            <w:tcW w:w="540"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单位</w:t>
            </w:r>
          </w:p>
        </w:tc>
        <w:tc>
          <w:tcPr>
            <w:tcW w:w="55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数量</w:t>
            </w:r>
          </w:p>
        </w:tc>
        <w:tc>
          <w:tcPr>
            <w:tcW w:w="124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控制价单价(不含税)</w:t>
            </w:r>
          </w:p>
        </w:tc>
        <w:tc>
          <w:tcPr>
            <w:tcW w:w="124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控制价合计(不含税)</w:t>
            </w:r>
          </w:p>
        </w:tc>
        <w:tc>
          <w:tcPr>
            <w:tcW w:w="1050"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报价单价(不含税)</w:t>
            </w:r>
          </w:p>
        </w:tc>
        <w:tc>
          <w:tcPr>
            <w:tcW w:w="106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报价合计(不含税)</w:t>
            </w:r>
          </w:p>
        </w:tc>
        <w:tc>
          <w:tcPr>
            <w:tcW w:w="1115" w:type="dxa"/>
            <w:tcMar>
              <w:top w:w="0" w:type="dxa"/>
              <w:left w:w="108" w:type="dxa"/>
              <w:bottom w:w="0" w:type="dxa"/>
              <w:right w:w="108" w:type="dxa"/>
            </w:tcMar>
            <w:vAlign w:val="center"/>
          </w:tcPr>
          <w:p>
            <w:pPr>
              <w:pStyle w:val="2"/>
              <w:jc w:val="center"/>
              <w:rPr>
                <w:rFonts w:hint="eastAsia"/>
                <w:b/>
                <w:bCs/>
                <w:sz w:val="20"/>
                <w:szCs w:val="18"/>
                <w:vertAlign w:val="baseline"/>
                <w:lang w:val="en-US" w:eastAsia="zh-CN"/>
              </w:rPr>
            </w:pPr>
            <w:r>
              <w:rPr>
                <w:rFonts w:hint="eastAsia"/>
                <w:b/>
                <w:bCs/>
                <w:sz w:val="20"/>
                <w:szCs w:val="1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50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1</w:t>
            </w:r>
          </w:p>
        </w:tc>
        <w:tc>
          <w:tcPr>
            <w:tcW w:w="133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售楼处设计</w:t>
            </w:r>
          </w:p>
        </w:tc>
        <w:tc>
          <w:tcPr>
            <w:tcW w:w="121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全案设计</w:t>
            </w:r>
          </w:p>
        </w:tc>
        <w:tc>
          <w:tcPr>
            <w:tcW w:w="540"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套</w:t>
            </w:r>
          </w:p>
        </w:tc>
        <w:tc>
          <w:tcPr>
            <w:tcW w:w="55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1</w:t>
            </w:r>
          </w:p>
        </w:tc>
        <w:tc>
          <w:tcPr>
            <w:tcW w:w="124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148000.00</w:t>
            </w:r>
          </w:p>
        </w:tc>
        <w:tc>
          <w:tcPr>
            <w:tcW w:w="124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148000.00</w:t>
            </w:r>
          </w:p>
        </w:tc>
        <w:tc>
          <w:tcPr>
            <w:tcW w:w="1050"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06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115" w:type="dxa"/>
            <w:vMerge w:val="restart"/>
            <w:tcMar>
              <w:top w:w="0" w:type="dxa"/>
              <w:left w:w="108" w:type="dxa"/>
              <w:bottom w:w="0" w:type="dxa"/>
              <w:right w:w="108" w:type="dxa"/>
            </w:tcMar>
            <w:vAlign w:val="center"/>
          </w:tcPr>
          <w:p>
            <w:pPr>
              <w:pStyle w:val="2"/>
              <w:jc w:val="center"/>
              <w:rPr>
                <w:rFonts w:hint="eastAsia"/>
                <w:vertAlign w:val="baseline"/>
                <w:lang w:val="en-US" w:eastAsia="zh-CN"/>
              </w:rPr>
            </w:pPr>
            <w:r>
              <w:rPr>
                <w:rFonts w:hint="eastAsia"/>
                <w:vertAlign w:val="baseline"/>
                <w:lang w:val="en-US" w:eastAsia="zh-CN"/>
              </w:rPr>
              <w:t>服务内容以合同签署及双方沟通为准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0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2</w:t>
            </w:r>
          </w:p>
        </w:tc>
        <w:tc>
          <w:tcPr>
            <w:tcW w:w="133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样板间设计</w:t>
            </w:r>
          </w:p>
        </w:tc>
        <w:tc>
          <w:tcPr>
            <w:tcW w:w="1215" w:type="dxa"/>
            <w:tcMar>
              <w:top w:w="0" w:type="dxa"/>
              <w:left w:w="108" w:type="dxa"/>
              <w:bottom w:w="0" w:type="dxa"/>
              <w:right w:w="108" w:type="dxa"/>
            </w:tcMar>
            <w:vAlign w:val="center"/>
          </w:tcPr>
          <w:p>
            <w:pPr>
              <w:pStyle w:val="2"/>
              <w:jc w:val="center"/>
              <w:rPr>
                <w:rFonts w:hint="eastAsia"/>
                <w:vertAlign w:val="baseline"/>
                <w:lang w:val="en-US" w:eastAsia="zh-CN"/>
              </w:rPr>
            </w:pPr>
            <w:r>
              <w:rPr>
                <w:rFonts w:hint="eastAsia"/>
                <w:vertAlign w:val="baseline"/>
                <w:lang w:val="en-US" w:eastAsia="zh-CN"/>
              </w:rPr>
              <w:t>全案设计</w:t>
            </w:r>
          </w:p>
        </w:tc>
        <w:tc>
          <w:tcPr>
            <w:tcW w:w="540"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套</w:t>
            </w:r>
          </w:p>
        </w:tc>
        <w:tc>
          <w:tcPr>
            <w:tcW w:w="55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4</w:t>
            </w:r>
          </w:p>
        </w:tc>
        <w:tc>
          <w:tcPr>
            <w:tcW w:w="124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21000.00</w:t>
            </w:r>
          </w:p>
        </w:tc>
        <w:tc>
          <w:tcPr>
            <w:tcW w:w="124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84000.00</w:t>
            </w:r>
          </w:p>
        </w:tc>
        <w:tc>
          <w:tcPr>
            <w:tcW w:w="1050"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06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115" w:type="dxa"/>
            <w:vMerge w:val="continue"/>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50" w:type="dxa"/>
            <w:gridSpan w:val="5"/>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不含税合计</w:t>
            </w:r>
          </w:p>
        </w:tc>
        <w:tc>
          <w:tcPr>
            <w:tcW w:w="1245" w:type="dxa"/>
            <w:tcMar>
              <w:top w:w="0" w:type="dxa"/>
              <w:left w:w="108" w:type="dxa"/>
              <w:bottom w:w="0" w:type="dxa"/>
              <w:right w:w="108" w:type="dxa"/>
            </w:tcMar>
            <w:vAlign w:val="center"/>
          </w:tcPr>
          <w:p>
            <w:pPr>
              <w:pStyle w:val="2"/>
              <w:jc w:val="center"/>
              <w:rPr>
                <w:rFonts w:hint="default"/>
                <w:vertAlign w:val="baseline"/>
                <w:lang w:val="en-US" w:eastAsia="zh-CN"/>
              </w:rPr>
            </w:pPr>
          </w:p>
        </w:tc>
        <w:tc>
          <w:tcPr>
            <w:tcW w:w="124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232000.00</w:t>
            </w:r>
          </w:p>
        </w:tc>
        <w:tc>
          <w:tcPr>
            <w:tcW w:w="2115" w:type="dxa"/>
            <w:gridSpan w:val="2"/>
            <w:tcMar>
              <w:top w:w="0" w:type="dxa"/>
              <w:left w:w="108" w:type="dxa"/>
              <w:bottom w:w="0" w:type="dxa"/>
              <w:right w:w="108" w:type="dxa"/>
            </w:tcMar>
            <w:vAlign w:val="center"/>
          </w:tcPr>
          <w:p>
            <w:pPr>
              <w:pStyle w:val="2"/>
              <w:jc w:val="center"/>
              <w:rPr>
                <w:rFonts w:hint="eastAsia"/>
                <w:vertAlign w:val="baseline"/>
                <w:lang w:val="en-US" w:eastAsia="zh-CN"/>
              </w:rPr>
            </w:pPr>
          </w:p>
        </w:tc>
        <w:tc>
          <w:tcPr>
            <w:tcW w:w="1115" w:type="dxa"/>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150" w:type="dxa"/>
            <w:gridSpan w:val="5"/>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税金（税率</w:t>
            </w:r>
            <w:r>
              <w:rPr>
                <w:rFonts w:hint="eastAsia"/>
                <w:u w:val="single"/>
                <w:vertAlign w:val="baseline"/>
                <w:lang w:val="en-US" w:eastAsia="zh-CN"/>
              </w:rPr>
              <w:t xml:space="preserve">   </w:t>
            </w:r>
            <w:r>
              <w:rPr>
                <w:rFonts w:hint="eastAsia"/>
                <w:vertAlign w:val="baseline"/>
                <w:lang w:val="en-US" w:eastAsia="zh-CN"/>
              </w:rPr>
              <w:t>%）</w:t>
            </w:r>
          </w:p>
        </w:tc>
        <w:tc>
          <w:tcPr>
            <w:tcW w:w="124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24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2115" w:type="dxa"/>
            <w:gridSpan w:val="2"/>
            <w:tcMar>
              <w:top w:w="0" w:type="dxa"/>
              <w:left w:w="108" w:type="dxa"/>
              <w:bottom w:w="0" w:type="dxa"/>
              <w:right w:w="108" w:type="dxa"/>
            </w:tcMar>
            <w:vAlign w:val="center"/>
          </w:tcPr>
          <w:p>
            <w:pPr>
              <w:pStyle w:val="2"/>
              <w:jc w:val="center"/>
              <w:rPr>
                <w:rFonts w:hint="eastAsia"/>
                <w:vertAlign w:val="baseline"/>
                <w:lang w:val="en-US" w:eastAsia="zh-CN"/>
              </w:rPr>
            </w:pPr>
          </w:p>
        </w:tc>
        <w:tc>
          <w:tcPr>
            <w:tcW w:w="1115" w:type="dxa"/>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150" w:type="dxa"/>
            <w:gridSpan w:val="5"/>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含税合计</w:t>
            </w:r>
          </w:p>
        </w:tc>
        <w:tc>
          <w:tcPr>
            <w:tcW w:w="124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24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2115" w:type="dxa"/>
            <w:gridSpan w:val="2"/>
            <w:tcMar>
              <w:top w:w="0" w:type="dxa"/>
              <w:left w:w="108" w:type="dxa"/>
              <w:bottom w:w="0" w:type="dxa"/>
              <w:right w:w="108" w:type="dxa"/>
            </w:tcMar>
            <w:vAlign w:val="center"/>
          </w:tcPr>
          <w:p>
            <w:pPr>
              <w:pStyle w:val="2"/>
              <w:jc w:val="center"/>
              <w:rPr>
                <w:rFonts w:hint="eastAsia"/>
                <w:vertAlign w:val="baseline"/>
                <w:lang w:val="en-US" w:eastAsia="zh-CN"/>
              </w:rPr>
            </w:pPr>
          </w:p>
        </w:tc>
        <w:tc>
          <w:tcPr>
            <w:tcW w:w="1115" w:type="dxa"/>
            <w:tcMar>
              <w:top w:w="0" w:type="dxa"/>
              <w:left w:w="108" w:type="dxa"/>
              <w:bottom w:w="0" w:type="dxa"/>
              <w:right w:w="108" w:type="dxa"/>
            </w:tcMar>
            <w:vAlign w:val="center"/>
          </w:tcPr>
          <w:p>
            <w:pPr>
              <w:pStyle w:val="2"/>
              <w:jc w:val="center"/>
              <w:rPr>
                <w:rFonts w:hint="eastAsia"/>
                <w:vertAlign w:val="baseline"/>
                <w:lang w:val="en-US" w:eastAsia="zh-CN"/>
              </w:rPr>
            </w:pP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储备项目售楼处、样板房设计采购</w:t>
      </w:r>
      <w:r>
        <w:rPr>
          <w:rFonts w:hint="eastAsia" w:ascii="宋体" w:hAnsi="宋体"/>
          <w:color w:val="FF0000"/>
          <w:kern w:val="0"/>
          <w:sz w:val="24"/>
          <w:u w:val="single"/>
          <w:lang w:val="en-US" w:eastAsia="zh-CN"/>
        </w:rPr>
        <w:t xml:space="preserve"> </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138581133"/>
      <w:bookmarkStart w:id="10" w:name="_Toc138581214"/>
      <w:bookmarkStart w:id="11" w:name="_Toc282613287"/>
      <w:bookmarkStart w:id="12" w:name="_Toc152748104"/>
      <w:bookmarkStart w:id="13" w:name="_Toc156059747"/>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eastAsia="zh-CN"/>
        </w:rPr>
        <w:t>雅安城投</w:t>
      </w:r>
      <w:r>
        <w:rPr>
          <w:rFonts w:hint="eastAsia" w:ascii="宋体" w:hAnsi="宋体"/>
          <w:color w:val="FF0000"/>
          <w:sz w:val="24"/>
          <w:u w:val="single"/>
          <w:lang w:val="en-US" w:eastAsia="zh-CN"/>
        </w:rPr>
        <w:t>工匠建设</w:t>
      </w:r>
      <w:r>
        <w:rPr>
          <w:rFonts w:hint="eastAsia" w:ascii="宋体" w:hAnsi="宋体"/>
          <w:color w:val="FF0000"/>
          <w:sz w:val="24"/>
          <w:u w:val="single"/>
          <w:lang w:eastAsia="zh-CN"/>
        </w:rPr>
        <w:t>工程有限公司</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储备项目售楼处、样板房设计采购</w:t>
      </w:r>
      <w:r>
        <w:rPr>
          <w:rFonts w:hint="eastAsia" w:ascii="宋体" w:hAnsi="宋体"/>
          <w:color w:val="FF0000"/>
          <w:kern w:val="0"/>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cs="Times New Roman"/>
          <w:b/>
          <w:color w:val="FF0000"/>
          <w:sz w:val="24"/>
          <w:lang w:val="en-US" w:eastAsia="zh-CN"/>
        </w:rPr>
      </w:pPr>
      <w:r>
        <w:rPr>
          <w:rFonts w:hint="eastAsia" w:ascii="宋体" w:hAnsi="宋体" w:cs="Times New Roman"/>
          <w:b/>
          <w:color w:val="FF0000"/>
          <w:sz w:val="24"/>
          <w:lang w:val="en-US" w:eastAsia="zh-CN"/>
        </w:rPr>
        <w:t>设计方案：包含本项目平面方案、效果图、全景图</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8143C"/>
    <w:rsid w:val="007B4A44"/>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72500"/>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4DA0AA3"/>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815E0E"/>
    <w:rsid w:val="1B9709BC"/>
    <w:rsid w:val="1BB76DDC"/>
    <w:rsid w:val="1C547B34"/>
    <w:rsid w:val="1C7A05BE"/>
    <w:rsid w:val="1D5F77B4"/>
    <w:rsid w:val="1DE53AF9"/>
    <w:rsid w:val="1DFB572F"/>
    <w:rsid w:val="1ECE0397"/>
    <w:rsid w:val="1ED61CF8"/>
    <w:rsid w:val="1F51312D"/>
    <w:rsid w:val="1F7F5714"/>
    <w:rsid w:val="1FC81641"/>
    <w:rsid w:val="1FE8583F"/>
    <w:rsid w:val="20062169"/>
    <w:rsid w:val="2020147D"/>
    <w:rsid w:val="20476035"/>
    <w:rsid w:val="20537E3B"/>
    <w:rsid w:val="20AA080C"/>
    <w:rsid w:val="212C521A"/>
    <w:rsid w:val="2133507B"/>
    <w:rsid w:val="21696E53"/>
    <w:rsid w:val="2174314F"/>
    <w:rsid w:val="21AB1252"/>
    <w:rsid w:val="21F81FCB"/>
    <w:rsid w:val="22010E3A"/>
    <w:rsid w:val="22714212"/>
    <w:rsid w:val="22941CAE"/>
    <w:rsid w:val="22A85759"/>
    <w:rsid w:val="22DD18A7"/>
    <w:rsid w:val="23952182"/>
    <w:rsid w:val="2423153B"/>
    <w:rsid w:val="245051B0"/>
    <w:rsid w:val="2462251A"/>
    <w:rsid w:val="24E76A0D"/>
    <w:rsid w:val="24EF7175"/>
    <w:rsid w:val="24F46A34"/>
    <w:rsid w:val="2585692D"/>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327DB"/>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5838B8"/>
    <w:rsid w:val="33DA14EB"/>
    <w:rsid w:val="34074915"/>
    <w:rsid w:val="3437693D"/>
    <w:rsid w:val="34713BFD"/>
    <w:rsid w:val="34CE72A2"/>
    <w:rsid w:val="34D128EE"/>
    <w:rsid w:val="35284C04"/>
    <w:rsid w:val="355C3E01"/>
    <w:rsid w:val="355E2347"/>
    <w:rsid w:val="359A7184"/>
    <w:rsid w:val="35BE10C4"/>
    <w:rsid w:val="3633521D"/>
    <w:rsid w:val="369057B5"/>
    <w:rsid w:val="36B10C29"/>
    <w:rsid w:val="379320DC"/>
    <w:rsid w:val="37D20E57"/>
    <w:rsid w:val="37F47D63"/>
    <w:rsid w:val="384F70AD"/>
    <w:rsid w:val="385278E2"/>
    <w:rsid w:val="3878269F"/>
    <w:rsid w:val="38912AC0"/>
    <w:rsid w:val="389C3213"/>
    <w:rsid w:val="38ED3A6E"/>
    <w:rsid w:val="38FD0155"/>
    <w:rsid w:val="39292CF8"/>
    <w:rsid w:val="39581830"/>
    <w:rsid w:val="39E9692C"/>
    <w:rsid w:val="3A157721"/>
    <w:rsid w:val="3A836438"/>
    <w:rsid w:val="3AA7481D"/>
    <w:rsid w:val="3B2832E2"/>
    <w:rsid w:val="3B287930"/>
    <w:rsid w:val="3B4200A1"/>
    <w:rsid w:val="3B4A33FA"/>
    <w:rsid w:val="3B7F452C"/>
    <w:rsid w:val="3BA174BE"/>
    <w:rsid w:val="3BD038FF"/>
    <w:rsid w:val="3C1F4887"/>
    <w:rsid w:val="3C236125"/>
    <w:rsid w:val="3C4F6F1A"/>
    <w:rsid w:val="3CB66F99"/>
    <w:rsid w:val="3CBB6D56"/>
    <w:rsid w:val="3CD613E9"/>
    <w:rsid w:val="3D145A6E"/>
    <w:rsid w:val="3D6417AF"/>
    <w:rsid w:val="3D762284"/>
    <w:rsid w:val="3DA235CE"/>
    <w:rsid w:val="3DAC3EF8"/>
    <w:rsid w:val="3DB66B25"/>
    <w:rsid w:val="3DE80316"/>
    <w:rsid w:val="3E122BF2"/>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2C72F20"/>
    <w:rsid w:val="42EA0BC0"/>
    <w:rsid w:val="43087E22"/>
    <w:rsid w:val="434C41B3"/>
    <w:rsid w:val="43B40548"/>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7D1F5A"/>
    <w:rsid w:val="4CEF795D"/>
    <w:rsid w:val="4CF03E01"/>
    <w:rsid w:val="4D0F1DAD"/>
    <w:rsid w:val="4D355CB8"/>
    <w:rsid w:val="4D58159D"/>
    <w:rsid w:val="4D844549"/>
    <w:rsid w:val="4DB841F3"/>
    <w:rsid w:val="4DD728CB"/>
    <w:rsid w:val="4DED7995"/>
    <w:rsid w:val="4E345F70"/>
    <w:rsid w:val="4E4D5283"/>
    <w:rsid w:val="4E616639"/>
    <w:rsid w:val="4EB72315"/>
    <w:rsid w:val="4ED60DD5"/>
    <w:rsid w:val="4EDE7C89"/>
    <w:rsid w:val="4F005E52"/>
    <w:rsid w:val="4FAB2261"/>
    <w:rsid w:val="503F29AA"/>
    <w:rsid w:val="50F43794"/>
    <w:rsid w:val="513675CD"/>
    <w:rsid w:val="514C537E"/>
    <w:rsid w:val="51B3364F"/>
    <w:rsid w:val="51E23F34"/>
    <w:rsid w:val="52524C16"/>
    <w:rsid w:val="527C6137"/>
    <w:rsid w:val="52903990"/>
    <w:rsid w:val="529E7E5B"/>
    <w:rsid w:val="52BB2A38"/>
    <w:rsid w:val="53193572"/>
    <w:rsid w:val="535449BE"/>
    <w:rsid w:val="536966BB"/>
    <w:rsid w:val="539B0895"/>
    <w:rsid w:val="53E977FC"/>
    <w:rsid w:val="54176117"/>
    <w:rsid w:val="54A11E85"/>
    <w:rsid w:val="54BA6AA3"/>
    <w:rsid w:val="55307AE6"/>
    <w:rsid w:val="555E1B24"/>
    <w:rsid w:val="55A7171D"/>
    <w:rsid w:val="56DC53F6"/>
    <w:rsid w:val="56FC7846"/>
    <w:rsid w:val="571D6CF2"/>
    <w:rsid w:val="57E9601D"/>
    <w:rsid w:val="580544D9"/>
    <w:rsid w:val="58C17EA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915F4E"/>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A4BE7"/>
    <w:rsid w:val="65AC2438"/>
    <w:rsid w:val="661A55F3"/>
    <w:rsid w:val="66344907"/>
    <w:rsid w:val="6659497C"/>
    <w:rsid w:val="66E80E2A"/>
    <w:rsid w:val="67EC3C77"/>
    <w:rsid w:val="68060525"/>
    <w:rsid w:val="681F15E7"/>
    <w:rsid w:val="68C857DA"/>
    <w:rsid w:val="692E7D33"/>
    <w:rsid w:val="6A7E25F5"/>
    <w:rsid w:val="6A8246E8"/>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3F6A08"/>
    <w:rsid w:val="70480FAF"/>
    <w:rsid w:val="70507603"/>
    <w:rsid w:val="70686CD0"/>
    <w:rsid w:val="70796E02"/>
    <w:rsid w:val="70B908CA"/>
    <w:rsid w:val="710B44B6"/>
    <w:rsid w:val="717402AD"/>
    <w:rsid w:val="71BC67C6"/>
    <w:rsid w:val="72964253"/>
    <w:rsid w:val="72C05B3A"/>
    <w:rsid w:val="73A330CC"/>
    <w:rsid w:val="73D2575F"/>
    <w:rsid w:val="7416389E"/>
    <w:rsid w:val="74622626"/>
    <w:rsid w:val="747A6116"/>
    <w:rsid w:val="748C0004"/>
    <w:rsid w:val="74D44B0B"/>
    <w:rsid w:val="74FC2045"/>
    <w:rsid w:val="765C57B4"/>
    <w:rsid w:val="768F43A1"/>
    <w:rsid w:val="76F3675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763BC5"/>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4433</Words>
  <Characters>4567</Characters>
  <Lines>0</Lines>
  <Paragraphs>0</Paragraphs>
  <TotalTime>177</TotalTime>
  <ScaleCrop>false</ScaleCrop>
  <LinksUpToDate>false</LinksUpToDate>
  <CharactersWithSpaces>5341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2024-06-14T07:46:47Z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3C06348736A24A5883ECE754220D86FA_13</vt:lpwstr>
  </property>
</Properties>
</file>