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pacing w:line="500" w:lineRule="exact"/>
        <w:ind w:left="3602" w:leftChars="855" w:hanging="1807" w:hangingChars="5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雅州壹号院项目石材采购（二次）</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pageBreakBefore w:val="0"/>
        <w:kinsoku/>
        <w:overflowPunct/>
        <w:topLinePunct w:val="0"/>
        <w:autoSpaceDE/>
        <w:autoSpaceDN/>
        <w:bidi w:val="0"/>
        <w:spacing w:line="560" w:lineRule="exact"/>
        <w:ind w:firstLine="1807" w:firstLineChars="500"/>
        <w:rPr>
          <w:rFonts w:hint="eastAsia" w:ascii="仿宋" w:hAnsi="仿宋" w:eastAsia="仿宋" w:cs="仿宋"/>
          <w:color w:val="000000"/>
          <w:sz w:val="28"/>
          <w:szCs w:val="28"/>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single"/>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（6）报价清单（第一次）</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5"/>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4"/>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4"/>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spacing w:line="560" w:lineRule="exact"/>
        <w:ind w:firstLine="2800" w:firstLineChars="1000"/>
        <w:rPr>
          <w:rFonts w:hint="eastAsia" w:ascii="仿宋" w:hAnsi="仿宋" w:eastAsia="仿宋" w:cs="仿宋"/>
          <w:color w:val="000000"/>
          <w:sz w:val="28"/>
          <w:szCs w:val="28"/>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Style w:val="3"/>
        <w:rPr>
          <w:rFonts w:hint="eastAsia"/>
        </w:rPr>
      </w:pPr>
    </w:p>
    <w:p>
      <w:pPr>
        <w:rPr>
          <w:rFonts w:hint="eastAsia"/>
        </w:rPr>
      </w:pPr>
    </w:p>
    <w:p>
      <w:pPr>
        <w:rPr>
          <w:rFonts w:hint="eastAsia"/>
        </w:rPr>
      </w:pPr>
    </w:p>
    <w:p>
      <w:pPr>
        <w:rPr>
          <w:rFonts w:hint="eastAsia"/>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240" w:lineRule="auto"/>
        <w:ind w:firstLine="0" w:firstLineChars="0"/>
        <w:jc w:val="right"/>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spacing w:line="560" w:lineRule="exact"/>
        <w:ind w:firstLine="1400" w:firstLineChars="5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jc w:val="both"/>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color w:val="000000"/>
          <w:sz w:val="28"/>
          <w:szCs w:val="28"/>
        </w:rPr>
        <w:t>（注意：适用于委托人投标）</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报价清单（第一次）</w:t>
      </w:r>
    </w:p>
    <w:p>
      <w:pPr>
        <w:pStyle w:val="3"/>
        <w:rPr>
          <w:rFonts w:hint="eastAsia"/>
          <w:lang w:val="en-US" w:eastAsia="zh-CN"/>
        </w:rPr>
      </w:pPr>
    </w:p>
    <w:tbl>
      <w:tblPr>
        <w:tblStyle w:val="11"/>
        <w:tblW w:w="15191" w:type="dxa"/>
        <w:tblInd w:w="-4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80"/>
        <w:gridCol w:w="641"/>
        <w:gridCol w:w="1065"/>
        <w:gridCol w:w="3982"/>
        <w:gridCol w:w="668"/>
        <w:gridCol w:w="1391"/>
        <w:gridCol w:w="1241"/>
        <w:gridCol w:w="1391"/>
        <w:gridCol w:w="1732"/>
        <w:gridCol w:w="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6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6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10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39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规格型号（㎜）</w:t>
            </w:r>
          </w:p>
        </w:tc>
        <w:tc>
          <w:tcPr>
            <w:tcW w:w="668" w:type="dxa"/>
            <w:tcBorders>
              <w:top w:val="single" w:color="000000" w:sz="4" w:space="0"/>
              <w:left w:val="single" w:color="000000" w:sz="4" w:space="0"/>
              <w:bottom w:val="single" w:color="000000"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39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含税到场控制单价（元）</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含税到场单价（元）</w:t>
            </w:r>
          </w:p>
        </w:tc>
        <w:tc>
          <w:tcPr>
            <w:tcW w:w="1391"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含税到场总价（元）</w:t>
            </w:r>
          </w:p>
        </w:tc>
        <w:tc>
          <w:tcPr>
            <w:tcW w:w="1732" w:type="dxa"/>
            <w:tcBorders>
              <w:top w:val="single" w:color="000000" w:sz="4" w:space="0"/>
              <w:left w:val="single" w:color="auto"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参照图</w:t>
            </w:r>
          </w:p>
        </w:tc>
        <w:tc>
          <w:tcPr>
            <w:tcW w:w="84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干挂白麻石材（光面）</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0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2325.91</w:t>
            </w: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1.面层材料品种、规格、颜色 ：30mm厚花岗石，颜色综合，材料材质、厚度、颜色、图案等由中标单位提供样品，设计、监理、业主共同选样确定后施工。</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2、石材体积、密度不小于2.56g/cm；吸水率不大于0.6%；干燥压缩强度不小于60 0Mpa，弯曲强度不小于8.0Mpa。</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3、石材放射性及其他性能满足规范及图纸要求。</w:t>
            </w:r>
          </w:p>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4.石材尺寸规格详设计图纸。5、石材加工要求：①背栓打孔  ②油性防护6面，③背倒，④开槽，5、异型加工粘结，6、600头700头800头900头1000头。</w:t>
            </w:r>
          </w:p>
        </w:tc>
        <w:tc>
          <w:tcPr>
            <w:tcW w:w="668"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248.60</w:t>
            </w:r>
          </w:p>
        </w:tc>
        <w:tc>
          <w:tcPr>
            <w:tcW w:w="124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drawing>
                <wp:inline distT="0" distB="0" distL="114300" distR="114300">
                  <wp:extent cx="942975" cy="1083310"/>
                  <wp:effectExtent l="0" t="0" r="952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942975" cy="1083310"/>
                          </a:xfrm>
                          <a:prstGeom prst="rect">
                            <a:avLst/>
                          </a:prstGeom>
                          <a:noFill/>
                          <a:ln>
                            <a:noFill/>
                          </a:ln>
                        </pic:spPr>
                      </pic:pic>
                    </a:graphicData>
                  </a:graphic>
                </wp:inline>
              </w:drawing>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干挂白麻石材（荔枝面）</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0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w:t>
            </w: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1.面层材料品种、规格、颜色 ：30mm厚花岗石，颜色综合，材料材质、厚度、颜色、图案等由中标单位提供样品，设计、监理、业主共同选样确定后施工。</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2、石材体积、密度不小于2.56g/cm；吸水率不大于0.6%；干燥压缩强度不小于60 0Mpa，弯曲强度不小于8.0Mpa。</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3、石材放射性及其他性能满足规范及图纸要求。</w:t>
            </w:r>
          </w:p>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4.石材尺寸规格详设计图纸。5、石材加工要求：①背栓打孔  ②油性防护6面，③背倒，④开槽，5、异型加工粘结，6、600头700头800头900头1000头。</w:t>
            </w:r>
          </w:p>
        </w:tc>
        <w:tc>
          <w:tcPr>
            <w:tcW w:w="668"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248.60</w:t>
            </w:r>
          </w:p>
        </w:tc>
        <w:tc>
          <w:tcPr>
            <w:tcW w:w="124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drawing>
                <wp:inline distT="0" distB="0" distL="114300" distR="114300">
                  <wp:extent cx="936625" cy="1211580"/>
                  <wp:effectExtent l="0" t="0" r="15875" b="762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936625" cy="1211580"/>
                          </a:xfrm>
                          <a:prstGeom prst="rect">
                            <a:avLst/>
                          </a:prstGeom>
                          <a:noFill/>
                          <a:ln>
                            <a:noFill/>
                          </a:ln>
                        </pic:spPr>
                      </pic:pic>
                    </a:graphicData>
                  </a:graphic>
                </wp:inline>
              </w:drawing>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p>
            <w:pPr>
              <w:bidi w:val="0"/>
              <w:ind w:firstLine="436" w:firstLineChars="0"/>
              <w:jc w:val="left"/>
              <w:rPr>
                <w:rFonts w:hint="default" w:asciiTheme="minorHAnsi" w:hAnsiTheme="minorHAnsi" w:eastAsiaTheme="minorEastAsia" w:cstheme="minorBidi"/>
                <w:kern w:val="2"/>
                <w:sz w:val="21"/>
                <w:szCs w:val="2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2"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注：1、本次报价为材料到场固定含税单价，包含但不限于加工费、防护费、材料费、包装费、运杂费、管理费、利润、安全风险费用、服务费、上车费、垫资所需的资金占用利息费、售后服务费等抵达甲方指定地点的所有费用）。不论任何因素，在完成末次结算前，甲方除应付货款外，不需再支付其他费用。2、付款方式：银行转账，月付97%,3%质保金，质保一年。 3、送货地点：雅安市雨城区。4.石材放射性及其他性能满足规范及图纸要求。5.石材尺寸规格详见设计图纸。6、含税控制总价：603081.2</w:t>
            </w:r>
            <w:bookmarkStart w:id="1" w:name="_GoBack"/>
            <w:bookmarkEnd w:id="1"/>
            <w:r>
              <w:rPr>
                <w:rFonts w:hint="eastAsia" w:ascii="仿宋" w:hAnsi="仿宋" w:eastAsia="仿宋" w:cs="仿宋"/>
                <w:i w:val="0"/>
                <w:iCs w:val="0"/>
                <w:color w:val="000000"/>
                <w:kern w:val="0"/>
                <w:sz w:val="24"/>
                <w:szCs w:val="24"/>
                <w:u w:val="none"/>
                <w:lang w:val="en-US" w:eastAsia="zh-CN" w:bidi="ar"/>
              </w:rPr>
              <w:t>3元。</w:t>
            </w:r>
            <w:r>
              <w:rPr>
                <w:rFonts w:hint="eastAsia" w:ascii="仿宋" w:hAnsi="仿宋" w:eastAsia="仿宋" w:cs="仿宋"/>
                <w:b w:val="0"/>
                <w:bCs/>
                <w:color w:val="000000"/>
                <w:sz w:val="24"/>
                <w:szCs w:val="24"/>
                <w:lang w:val="en-US" w:eastAsia="zh-CN"/>
              </w:rPr>
              <w:t>注：本项目报价有第二次报价，第二次报价根据实际情况现场填写。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供应商名称：                                          联系人；                             联系电话：</w:t>
            </w:r>
          </w:p>
        </w:tc>
      </w:tr>
    </w:tbl>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sectPr>
          <w:pgSz w:w="16838" w:h="11906" w:orient="landscape"/>
          <w:pgMar w:top="1800" w:right="1440" w:bottom="1800" w:left="1440" w:header="851" w:footer="992" w:gutter="0"/>
          <w:pgNumType w:fmt="decimal"/>
          <w:cols w:space="425" w:num="1"/>
          <w:docGrid w:type="lines" w:linePitch="312" w:charSpace="0"/>
        </w:sect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pStyle w:val="3"/>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sectPr>
          <w:pgSz w:w="11906" w:h="16838"/>
          <w:pgMar w:top="1440" w:right="1800" w:bottom="1440" w:left="1800" w:header="851" w:footer="992" w:gutter="0"/>
          <w:pgNumType w:fmt="decimal"/>
          <w:cols w:space="425" w:num="1"/>
          <w:docGrid w:type="lines" w:linePitch="312" w:charSpace="0"/>
        </w:sect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报价清单（第二次）</w:t>
      </w:r>
    </w:p>
    <w:p>
      <w:pPr>
        <w:pStyle w:val="3"/>
        <w:rPr>
          <w:rFonts w:hint="eastAsia"/>
          <w:lang w:val="en-US" w:eastAsia="zh-CN"/>
        </w:rPr>
      </w:pPr>
    </w:p>
    <w:tbl>
      <w:tblPr>
        <w:tblStyle w:val="11"/>
        <w:tblW w:w="15191" w:type="dxa"/>
        <w:tblInd w:w="-4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80"/>
        <w:gridCol w:w="641"/>
        <w:gridCol w:w="1065"/>
        <w:gridCol w:w="3982"/>
        <w:gridCol w:w="668"/>
        <w:gridCol w:w="1391"/>
        <w:gridCol w:w="1241"/>
        <w:gridCol w:w="1391"/>
        <w:gridCol w:w="1732"/>
        <w:gridCol w:w="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6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58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6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10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39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规格型号（㎜）</w:t>
            </w:r>
          </w:p>
        </w:tc>
        <w:tc>
          <w:tcPr>
            <w:tcW w:w="668" w:type="dxa"/>
            <w:tcBorders>
              <w:top w:val="single" w:color="000000" w:sz="4" w:space="0"/>
              <w:left w:val="single" w:color="000000" w:sz="4" w:space="0"/>
              <w:bottom w:val="single" w:color="000000"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39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含税到场控制单价（元）</w:t>
            </w:r>
          </w:p>
        </w:tc>
        <w:tc>
          <w:tcPr>
            <w:tcW w:w="12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含税到场单价（元）</w:t>
            </w:r>
          </w:p>
        </w:tc>
        <w:tc>
          <w:tcPr>
            <w:tcW w:w="1391"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含税到场总价（元）</w:t>
            </w:r>
          </w:p>
        </w:tc>
        <w:tc>
          <w:tcPr>
            <w:tcW w:w="1732" w:type="dxa"/>
            <w:tcBorders>
              <w:top w:val="single" w:color="000000" w:sz="4" w:space="0"/>
              <w:left w:val="single" w:color="auto"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参照图</w:t>
            </w:r>
          </w:p>
        </w:tc>
        <w:tc>
          <w:tcPr>
            <w:tcW w:w="84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干挂白麻石材（光面）</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0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2325.91</w:t>
            </w: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1.面层材料品种、规格、颜色 ：30mm厚花岗石，颜色综合，材料材质、厚度、颜色、图案等由中标单位提供样品，设计、监理、业主共同选样确定后施工。</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2、石材体积、密度不小于2.56g/cm；吸水率不大于0.6%；干燥压缩强度不小于60 0Mpa，弯曲强度不小于8.0Mpa。</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3、石材放射性及其他性能满足规范及图纸要求。</w:t>
            </w:r>
          </w:p>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4.石材尺寸规格详设计图纸。5、石材加工要求：①背栓打孔  ②油性防护6面，③背倒，④开槽，5、异型加工粘结，6、600头700头800头900头1000头。</w:t>
            </w:r>
          </w:p>
        </w:tc>
        <w:tc>
          <w:tcPr>
            <w:tcW w:w="668"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248.60</w:t>
            </w:r>
          </w:p>
        </w:tc>
        <w:tc>
          <w:tcPr>
            <w:tcW w:w="124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drawing>
                <wp:inline distT="0" distB="0" distL="114300" distR="114300">
                  <wp:extent cx="942975" cy="1083310"/>
                  <wp:effectExtent l="0" t="0" r="9525"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942975" cy="1083310"/>
                          </a:xfrm>
                          <a:prstGeom prst="rect">
                            <a:avLst/>
                          </a:prstGeom>
                          <a:noFill/>
                          <a:ln>
                            <a:noFill/>
                          </a:ln>
                        </pic:spPr>
                      </pic:pic>
                    </a:graphicData>
                  </a:graphic>
                </wp:inline>
              </w:drawing>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1" w:hRule="atLeast"/>
        </w:trPr>
        <w:tc>
          <w:tcPr>
            <w:tcW w:w="65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8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干挂白麻石材（荔枝面）</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106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w:t>
            </w: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1.面层材料品种、规格、颜色 ：30mm厚花岗石，颜色综合，材料材质、厚度、颜色、图案等由中标单位提供样品，设计、监理、业主共同选样确定后施工。</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2、石材体积、密度不小于2.56g/cm；吸水率不大于0.6%；干燥压缩强度不小于60 0Mpa，弯曲强度不小于8.0Mpa。</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3、石材放射性及其他性能满足规范及图纸要求。</w:t>
            </w:r>
          </w:p>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4.石材尺寸规格详设计图纸。5、石材加工要求：①背栓打孔  ②油性防护6面，③背倒，④开槽，5、异型加工粘结，6、600头700头800头900头1000头。</w:t>
            </w:r>
          </w:p>
        </w:tc>
        <w:tc>
          <w:tcPr>
            <w:tcW w:w="668"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248.60</w:t>
            </w:r>
          </w:p>
        </w:tc>
        <w:tc>
          <w:tcPr>
            <w:tcW w:w="124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3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drawing>
                <wp:inline distT="0" distB="0" distL="114300" distR="114300">
                  <wp:extent cx="936625" cy="1211580"/>
                  <wp:effectExtent l="0" t="0" r="15875" b="762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9"/>
                          <a:stretch>
                            <a:fillRect/>
                          </a:stretch>
                        </pic:blipFill>
                        <pic:spPr>
                          <a:xfrm>
                            <a:off x="0" y="0"/>
                            <a:ext cx="936625" cy="1211580"/>
                          </a:xfrm>
                          <a:prstGeom prst="rect">
                            <a:avLst/>
                          </a:prstGeom>
                          <a:noFill/>
                          <a:ln>
                            <a:noFill/>
                          </a:ln>
                        </pic:spPr>
                      </pic:pic>
                    </a:graphicData>
                  </a:graphic>
                </wp:inline>
              </w:drawing>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p>
            <w:pPr>
              <w:bidi w:val="0"/>
              <w:ind w:firstLine="436" w:firstLineChars="0"/>
              <w:jc w:val="left"/>
              <w:rPr>
                <w:rFonts w:hint="default" w:asciiTheme="minorHAnsi" w:hAnsiTheme="minorHAnsi" w:eastAsiaTheme="minorEastAsia" w:cstheme="minorBidi"/>
                <w:kern w:val="2"/>
                <w:sz w:val="21"/>
                <w:szCs w:val="2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2"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注：1、本次报价为材料到场固定含税单价，包含但不限于加工费、防护费、材料费、包装费、运杂费、管理费、利润、安全风险费用、服务费、上车费、垫资所需的资金占用利息费、售后服务费等抵达甲方指定地点的所有费用）。不论任何因素，在完成末次结算前，甲方除应付货款外，不需再支付其他费用。2、付款方式：银行转账，月付97%,3%质保金，质保一年。 3、送货地点：雅安市雨城区。4.石材放射性及其他性能满足规范及图纸要求。5.石材尺寸规格详见设计图纸。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1519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供应商名称：                                          联系人；                             联系电话：</w:t>
            </w:r>
          </w:p>
        </w:tc>
      </w:tr>
    </w:tbl>
    <w:p>
      <w:pPr>
        <w:pageBreakBefore w:val="0"/>
        <w:numPr>
          <w:ilvl w:val="0"/>
          <w:numId w:val="0"/>
        </w:numPr>
        <w:kinsoku/>
        <w:overflowPunct/>
        <w:topLinePunct w:val="0"/>
        <w:autoSpaceDE/>
        <w:autoSpaceDN/>
        <w:bidi w:val="0"/>
        <w:spacing w:line="560" w:lineRule="exact"/>
        <w:rPr>
          <w:rFonts w:hint="eastAsia" w:ascii="仿宋" w:hAnsi="仿宋" w:eastAsia="仿宋" w:cs="仿宋"/>
          <w:b/>
          <w:bCs/>
          <w:lang w:val="en-US" w:eastAsia="zh-CN"/>
        </w:rPr>
      </w:pPr>
      <w:r>
        <w:rPr>
          <w:rFonts w:hint="eastAsia" w:ascii="仿宋" w:hAnsi="仿宋" w:eastAsia="仿宋" w:cs="仿宋"/>
          <w:b/>
          <w:bCs/>
          <w:i w:val="0"/>
          <w:caps w:val="0"/>
          <w:color w:val="000000"/>
          <w:spacing w:val="0"/>
          <w:w w:val="100"/>
          <w:sz w:val="36"/>
          <w:szCs w:val="48"/>
          <w:lang w:val="en-US" w:eastAsia="zh-CN"/>
        </w:rPr>
        <w:t>注：</w:t>
      </w:r>
      <w:r>
        <w:rPr>
          <w:rFonts w:hint="eastAsia" w:ascii="仿宋" w:hAnsi="仿宋" w:eastAsia="仿宋" w:cs="仿宋"/>
          <w:color w:val="000000"/>
          <w:sz w:val="28"/>
          <w:szCs w:val="28"/>
          <w:lang w:val="en-US" w:eastAsia="zh-CN"/>
        </w:rPr>
        <w:t>此表不装订进入响应文件，请签字盖章后自行携带，根据实际情况现场填写第二次报价。</w:t>
      </w: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81D24"/>
    <w:rsid w:val="00FB65C3"/>
    <w:rsid w:val="00FD1F1D"/>
    <w:rsid w:val="00FF5006"/>
    <w:rsid w:val="01582508"/>
    <w:rsid w:val="035E2A3D"/>
    <w:rsid w:val="03F01582"/>
    <w:rsid w:val="05BC1586"/>
    <w:rsid w:val="067C7DAD"/>
    <w:rsid w:val="080A5EBF"/>
    <w:rsid w:val="0820760C"/>
    <w:rsid w:val="087F77D5"/>
    <w:rsid w:val="08C67561"/>
    <w:rsid w:val="09596E65"/>
    <w:rsid w:val="095C7502"/>
    <w:rsid w:val="0AFF049B"/>
    <w:rsid w:val="0BBB281B"/>
    <w:rsid w:val="0D7B4A84"/>
    <w:rsid w:val="0F0D3D06"/>
    <w:rsid w:val="0F721BE3"/>
    <w:rsid w:val="0F9D1B6C"/>
    <w:rsid w:val="0FF15CC2"/>
    <w:rsid w:val="115B2158"/>
    <w:rsid w:val="116952AA"/>
    <w:rsid w:val="12376B78"/>
    <w:rsid w:val="130A724C"/>
    <w:rsid w:val="13487BD8"/>
    <w:rsid w:val="139E7D14"/>
    <w:rsid w:val="148F169E"/>
    <w:rsid w:val="14B33D84"/>
    <w:rsid w:val="14D577BC"/>
    <w:rsid w:val="15C45F20"/>
    <w:rsid w:val="16D0087B"/>
    <w:rsid w:val="170C2C5F"/>
    <w:rsid w:val="17CE4D6F"/>
    <w:rsid w:val="189D5EA0"/>
    <w:rsid w:val="18E16A46"/>
    <w:rsid w:val="19AF308B"/>
    <w:rsid w:val="1B9C7A46"/>
    <w:rsid w:val="1BF66CB3"/>
    <w:rsid w:val="1D5341BB"/>
    <w:rsid w:val="1FE30A2F"/>
    <w:rsid w:val="20FA4ED8"/>
    <w:rsid w:val="21315582"/>
    <w:rsid w:val="227F4150"/>
    <w:rsid w:val="231F1C62"/>
    <w:rsid w:val="245E155B"/>
    <w:rsid w:val="25023044"/>
    <w:rsid w:val="255031BD"/>
    <w:rsid w:val="259F1C54"/>
    <w:rsid w:val="25DF7393"/>
    <w:rsid w:val="269B1D48"/>
    <w:rsid w:val="27C70F4E"/>
    <w:rsid w:val="2B2E2565"/>
    <w:rsid w:val="2B937D0B"/>
    <w:rsid w:val="2CB15DF8"/>
    <w:rsid w:val="31BA3E7A"/>
    <w:rsid w:val="31D10ACA"/>
    <w:rsid w:val="326654D3"/>
    <w:rsid w:val="32AE71B3"/>
    <w:rsid w:val="32CC7B0B"/>
    <w:rsid w:val="339F7DC0"/>
    <w:rsid w:val="33F4687B"/>
    <w:rsid w:val="34EF02EA"/>
    <w:rsid w:val="350E65A8"/>
    <w:rsid w:val="359B0B00"/>
    <w:rsid w:val="35B801E4"/>
    <w:rsid w:val="35F9471D"/>
    <w:rsid w:val="366B5955"/>
    <w:rsid w:val="38796E33"/>
    <w:rsid w:val="38804A9B"/>
    <w:rsid w:val="38EF2970"/>
    <w:rsid w:val="39CC5062"/>
    <w:rsid w:val="3A324A06"/>
    <w:rsid w:val="3A501E4E"/>
    <w:rsid w:val="3BB63F22"/>
    <w:rsid w:val="3D22095C"/>
    <w:rsid w:val="3D382B00"/>
    <w:rsid w:val="3EE20F3A"/>
    <w:rsid w:val="3F1B2C95"/>
    <w:rsid w:val="3FCD4CB7"/>
    <w:rsid w:val="400F0EC8"/>
    <w:rsid w:val="418165E7"/>
    <w:rsid w:val="42752BD6"/>
    <w:rsid w:val="448B1706"/>
    <w:rsid w:val="47521611"/>
    <w:rsid w:val="48135E6A"/>
    <w:rsid w:val="485D2DC8"/>
    <w:rsid w:val="485F04C9"/>
    <w:rsid w:val="49A31E42"/>
    <w:rsid w:val="4A082885"/>
    <w:rsid w:val="4BD777FC"/>
    <w:rsid w:val="4C270DF4"/>
    <w:rsid w:val="4F9B7EA7"/>
    <w:rsid w:val="4FB47373"/>
    <w:rsid w:val="51077659"/>
    <w:rsid w:val="53514ABF"/>
    <w:rsid w:val="54C82BE5"/>
    <w:rsid w:val="56382375"/>
    <w:rsid w:val="58030690"/>
    <w:rsid w:val="582E113A"/>
    <w:rsid w:val="58B06210"/>
    <w:rsid w:val="591E5852"/>
    <w:rsid w:val="5991054C"/>
    <w:rsid w:val="5CB511D7"/>
    <w:rsid w:val="61200079"/>
    <w:rsid w:val="62E03BE3"/>
    <w:rsid w:val="6441217E"/>
    <w:rsid w:val="645A41B3"/>
    <w:rsid w:val="66063A14"/>
    <w:rsid w:val="660F6CFC"/>
    <w:rsid w:val="66FB2774"/>
    <w:rsid w:val="680B5046"/>
    <w:rsid w:val="6861404E"/>
    <w:rsid w:val="69593F14"/>
    <w:rsid w:val="69720D4B"/>
    <w:rsid w:val="6A684E1D"/>
    <w:rsid w:val="704B4AC8"/>
    <w:rsid w:val="72803B7E"/>
    <w:rsid w:val="729554F3"/>
    <w:rsid w:val="75CD621C"/>
    <w:rsid w:val="75F56D87"/>
    <w:rsid w:val="78B54D65"/>
    <w:rsid w:val="78DA5E22"/>
    <w:rsid w:val="7AE1009A"/>
    <w:rsid w:val="7B330CC4"/>
    <w:rsid w:val="7B651D50"/>
    <w:rsid w:val="7BB93E9E"/>
    <w:rsid w:val="7C8313D5"/>
    <w:rsid w:val="7D07366F"/>
    <w:rsid w:val="7E772478"/>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正文2"/>
    <w:basedOn w:val="1"/>
    <w:next w:val="1"/>
    <w:qFormat/>
    <w:uiPriority w:val="0"/>
    <w:pPr>
      <w:spacing w:line="440" w:lineRule="exact"/>
    </w:pPr>
    <w:rPr>
      <w:kern w:val="0"/>
      <w:sz w:val="24"/>
    </w:rPr>
  </w:style>
  <w:style w:type="paragraph" w:styleId="3">
    <w:name w:val="Body Text"/>
    <w:basedOn w:val="1"/>
    <w:next w:val="1"/>
    <w:unhideWhenUsed/>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after="120" w:line="480" w:lineRule="auto"/>
      <w:ind w:left="200" w:leftChars="200"/>
    </w:pPr>
  </w:style>
  <w:style w:type="paragraph" w:styleId="6">
    <w:name w:val="footer"/>
    <w:basedOn w:val="1"/>
    <w:link w:val="14"/>
    <w:semiHidden/>
    <w:unhideWhenUsed/>
    <w:qFormat/>
    <w:uiPriority w:val="99"/>
    <w:pPr>
      <w:tabs>
        <w:tab w:val="center" w:pos="4153"/>
        <w:tab w:val="right" w:pos="8306"/>
      </w:tabs>
      <w:snapToGrid w:val="0"/>
      <w:jc w:val="left"/>
    </w:pPr>
    <w:rPr>
      <w:sz w:val="18"/>
      <w:szCs w:val="18"/>
    </w:rPr>
  </w:style>
  <w:style w:type="paragraph" w:styleId="7">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Title"/>
    <w:basedOn w:val="1"/>
    <w:next w:val="1"/>
    <w:qFormat/>
    <w:uiPriority w:val="0"/>
    <w:pPr>
      <w:spacing w:before="240" w:after="60"/>
      <w:jc w:val="center"/>
      <w:outlineLvl w:val="0"/>
    </w:pPr>
    <w:rPr>
      <w:rFonts w:ascii="Cambria" w:hAnsi="Cambria"/>
      <w:b/>
      <w:bCs/>
      <w:sz w:val="32"/>
      <w:szCs w:val="32"/>
    </w:rPr>
  </w:style>
  <w:style w:type="paragraph" w:styleId="10">
    <w:name w:val="Body Text First Indent 2"/>
    <w:basedOn w:val="4"/>
    <w:qFormat/>
    <w:uiPriority w:val="0"/>
    <w:pPr>
      <w:ind w:firstLine="200" w:firstLineChars="200"/>
    </w:pPr>
  </w:style>
  <w:style w:type="character" w:styleId="13">
    <w:name w:val="page number"/>
    <w:qFormat/>
    <w:uiPriority w:val="0"/>
  </w:style>
  <w:style w:type="character" w:customStyle="1" w:styleId="14">
    <w:name w:val="页脚 字符"/>
    <w:basedOn w:val="12"/>
    <w:link w:val="6"/>
    <w:semiHidden/>
    <w:qFormat/>
    <w:uiPriority w:val="99"/>
    <w:rPr>
      <w:sz w:val="18"/>
      <w:szCs w:val="18"/>
    </w:rPr>
  </w:style>
  <w:style w:type="character" w:customStyle="1" w:styleId="15">
    <w:name w:val="页眉 字符"/>
    <w:basedOn w:val="12"/>
    <w:link w:val="7"/>
    <w:semiHidden/>
    <w:qFormat/>
    <w:uiPriority w:val="99"/>
    <w:rPr>
      <w:sz w:val="18"/>
      <w:szCs w:val="18"/>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character" w:customStyle="1" w:styleId="17">
    <w:name w:val="font11"/>
    <w:basedOn w:val="12"/>
    <w:qFormat/>
    <w:uiPriority w:val="0"/>
    <w:rPr>
      <w:rFonts w:hint="eastAsia" w:ascii="仿宋" w:hAnsi="仿宋" w:eastAsia="仿宋" w:cs="仿宋"/>
      <w:color w:val="000000"/>
      <w:sz w:val="24"/>
      <w:szCs w:val="24"/>
      <w:u w:val="none"/>
    </w:rPr>
  </w:style>
  <w:style w:type="character" w:customStyle="1" w:styleId="18">
    <w:name w:val="font51"/>
    <w:basedOn w:val="12"/>
    <w:qFormat/>
    <w:uiPriority w:val="0"/>
    <w:rPr>
      <w:rFonts w:hint="eastAsia" w:ascii="仿宋" w:hAnsi="仿宋" w:eastAsia="仿宋" w:cs="仿宋"/>
      <w:color w:val="000000"/>
      <w:sz w:val="22"/>
      <w:szCs w:val="22"/>
      <w:u w:val="none"/>
    </w:rPr>
  </w:style>
  <w:style w:type="character" w:customStyle="1" w:styleId="19">
    <w:name w:val="font71"/>
    <w:basedOn w:val="12"/>
    <w:qFormat/>
    <w:uiPriority w:val="0"/>
    <w:rPr>
      <w:rFonts w:hint="eastAsia" w:ascii="仿宋" w:hAnsi="仿宋" w:eastAsia="仿宋" w:cs="仿宋"/>
      <w:color w:val="000000"/>
      <w:sz w:val="22"/>
      <w:szCs w:val="22"/>
      <w:u w:val="single"/>
    </w:rPr>
  </w:style>
  <w:style w:type="character" w:customStyle="1" w:styleId="20">
    <w:name w:val="font61"/>
    <w:basedOn w:val="12"/>
    <w:qFormat/>
    <w:uiPriority w:val="0"/>
    <w:rPr>
      <w:rFonts w:hint="eastAsia" w:ascii="仿宋" w:hAnsi="仿宋" w:eastAsia="仿宋" w:cs="仿宋"/>
      <w:b/>
      <w:bCs/>
      <w:color w:val="000000"/>
      <w:sz w:val="22"/>
      <w:szCs w:val="22"/>
      <w:u w:val="none"/>
    </w:rPr>
  </w:style>
  <w:style w:type="character" w:customStyle="1" w:styleId="21">
    <w:name w:val="font41"/>
    <w:basedOn w:val="12"/>
    <w:qFormat/>
    <w:uiPriority w:val="0"/>
    <w:rPr>
      <w:rFonts w:hint="eastAsia" w:ascii="仿宋" w:hAnsi="仿宋" w:eastAsia="仿宋" w:cs="仿宋"/>
      <w:color w:val="000000"/>
      <w:sz w:val="22"/>
      <w:szCs w:val="22"/>
      <w:u w:val="none"/>
    </w:rPr>
  </w:style>
  <w:style w:type="character" w:customStyle="1" w:styleId="22">
    <w:name w:val="font81"/>
    <w:basedOn w:val="12"/>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1</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任泓源</cp:lastModifiedBy>
  <dcterms:modified xsi:type="dcterms:W3CDTF">2024-07-01T08:42:41Z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BEC54D46B217421C861377D0A14E6680_13</vt:lpwstr>
  </property>
</Properties>
</file>