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outlineLvl w:val="0"/>
        <w:rPr>
          <w:rFonts w:ascii="仿宋_GB2312" w:hAnsi="仿宋_GB2312" w:eastAsia="仿宋_GB2312" w:cs="仿宋_GB2312"/>
          <w:b/>
          <w:bCs/>
          <w:sz w:val="44"/>
          <w:szCs w:val="44"/>
        </w:rPr>
      </w:pPr>
      <w:r>
        <w:rPr>
          <w:rFonts w:hint="eastAsia" w:ascii="仿宋_GB2312" w:hAnsi="仿宋_GB2312" w:eastAsia="仿宋_GB2312" w:cs="仿宋_GB2312"/>
          <w:b/>
          <w:bCs/>
          <w:sz w:val="44"/>
          <w:szCs w:val="44"/>
          <w:lang w:val="en-US" w:eastAsia="zh-CN"/>
        </w:rPr>
        <w:t>页岩砖年度集中采购协议</w:t>
      </w:r>
    </w:p>
    <w:p>
      <w:pPr>
        <w:rPr>
          <w:rFonts w:hint="eastAsia" w:ascii="仿宋_GB2312" w:hAnsi="仿宋_GB2312" w:eastAsia="仿宋_GB2312" w:cs="仿宋_GB2312"/>
          <w:b/>
          <w:sz w:val="32"/>
          <w:szCs w:val="32"/>
          <w:u w:val="single"/>
          <w:lang w:val="en-US" w:eastAsia="zh-CN"/>
        </w:rPr>
      </w:pPr>
      <w:r>
        <w:rPr>
          <w:rFonts w:hint="eastAsia" w:ascii="仿宋_GB2312" w:hAnsi="仿宋_GB2312" w:eastAsia="仿宋_GB2312" w:cs="仿宋_GB2312"/>
          <w:b/>
          <w:sz w:val="32"/>
          <w:szCs w:val="32"/>
        </w:rPr>
        <w:t>甲方（采购方）：</w:t>
      </w:r>
      <w:r>
        <w:rPr>
          <w:rFonts w:hint="eastAsia" w:ascii="仿宋_GB2312" w:hAnsi="仿宋_GB2312" w:eastAsia="仿宋_GB2312" w:cs="仿宋_GB2312"/>
          <w:b/>
          <w:sz w:val="32"/>
          <w:szCs w:val="32"/>
          <w:lang w:eastAsia="zh-CN"/>
        </w:rPr>
        <w:t>雅安城投建筑工程有限公司</w:t>
      </w:r>
    </w:p>
    <w:p>
      <w:pPr>
        <w:rPr>
          <w:rFonts w:hint="eastAsia" w:ascii="仿宋_GB2312" w:hAnsi="仿宋_GB2312" w:eastAsia="仿宋_GB2312" w:cs="仿宋_GB2312"/>
          <w:b/>
          <w:color w:val="000000"/>
          <w:sz w:val="32"/>
          <w:szCs w:val="32"/>
          <w:u w:val="single"/>
          <w:lang w:val="en-US" w:eastAsia="zh-CN"/>
        </w:rPr>
      </w:pPr>
      <w:r>
        <w:rPr>
          <w:rFonts w:hint="eastAsia" w:ascii="仿宋_GB2312" w:hAnsi="仿宋_GB2312" w:eastAsia="仿宋_GB2312" w:cs="仿宋_GB2312"/>
          <w:b/>
          <w:sz w:val="32"/>
          <w:szCs w:val="32"/>
        </w:rPr>
        <w:t>乙方（供货方）：</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依据《中华人民共和国民法典》及其它有关法律、法规等有关规定。甲、乙双方遵循平等、自愿、公平、诚信和互利的原则，经双方友好协商，达成一致，同意签订</w:t>
      </w:r>
      <w:r>
        <w:rPr>
          <w:rFonts w:hint="eastAsia" w:ascii="仿宋_GB2312" w:hAnsi="仿宋_GB2312" w:eastAsia="仿宋_GB2312" w:cs="仿宋_GB2312"/>
          <w:bCs/>
          <w:color w:val="000000"/>
          <w:sz w:val="32"/>
          <w:szCs w:val="32"/>
          <w:lang w:val="en-US" w:eastAsia="zh-CN"/>
        </w:rPr>
        <w:t>2025.06-2026.05年度</w:t>
      </w:r>
      <w:r>
        <w:rPr>
          <w:rFonts w:hint="eastAsia" w:ascii="仿宋_GB2312" w:hAnsi="仿宋_GB2312" w:eastAsia="仿宋_GB2312" w:cs="仿宋_GB2312"/>
          <w:bCs/>
          <w:color w:val="000000"/>
          <w:sz w:val="32"/>
          <w:szCs w:val="32"/>
        </w:rPr>
        <w:t xml:space="preserve">供应协议。 </w:t>
      </w:r>
    </w:p>
    <w:p>
      <w:pPr>
        <w:numPr>
          <w:ilvl w:val="0"/>
          <w:numId w:val="2"/>
        </w:numPr>
        <w:ind w:firstLine="643" w:firstLineChars="20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协议标的</w:t>
      </w:r>
    </w:p>
    <w:p>
      <w:pPr>
        <w:ind w:firstLine="640" w:firstLineChars="200"/>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（一）本协议为采购协议。甲乙双方同意在</w:t>
      </w:r>
      <w:r>
        <w:rPr>
          <w:rFonts w:hint="eastAsia" w:ascii="仿宋_GB2312" w:hAnsi="仿宋_GB2312" w:eastAsia="仿宋_GB2312" w:cs="仿宋_GB2312"/>
          <w:bCs/>
          <w:color w:val="000000"/>
          <w:sz w:val="32"/>
          <w:szCs w:val="32"/>
          <w:lang w:val="en-US" w:eastAsia="zh-CN"/>
        </w:rPr>
        <w:t>2025.06-2026.05年度</w:t>
      </w:r>
      <w:r>
        <w:rPr>
          <w:rFonts w:hint="eastAsia" w:ascii="仿宋_GB2312" w:hAnsi="仿宋_GB2312" w:eastAsia="仿宋_GB2312" w:cs="仿宋_GB2312"/>
          <w:bCs/>
          <w:color w:val="000000"/>
          <w:sz w:val="32"/>
          <w:szCs w:val="32"/>
        </w:rPr>
        <w:t>内，由乙方按照本合同约定的条件向甲方项目供应货物，具体内容以附件</w:t>
      </w:r>
      <w:r>
        <w:rPr>
          <w:rFonts w:hint="eastAsia" w:ascii="仿宋_GB2312" w:hAnsi="仿宋_GB2312" w:eastAsia="仿宋_GB2312" w:cs="仿宋_GB2312"/>
          <w:bCs/>
          <w:color w:val="000000"/>
          <w:sz w:val="32"/>
          <w:szCs w:val="32"/>
          <w:lang w:eastAsia="zh-CN"/>
        </w:rPr>
        <w:t>清单</w:t>
      </w:r>
      <w:r>
        <w:rPr>
          <w:rFonts w:hint="eastAsia" w:ascii="仿宋_GB2312" w:hAnsi="仿宋_GB2312" w:eastAsia="仿宋_GB2312" w:cs="仿宋_GB2312"/>
          <w:bCs/>
          <w:color w:val="000000"/>
          <w:sz w:val="32"/>
          <w:szCs w:val="32"/>
        </w:rPr>
        <w:t>约定为准。</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（二）具体采购数量根据设计及施工现场需要，由双方确认采购订单，约定供货时间、地点、付款周期等。</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（三）乙方按照与甲方签订的合同，对所负责供应的材料应作一定的库存，并按照甲方采购人员通知数量分批量、分批次、分地点送货，确保满足需求。</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（四）具体标的物以甲方每次向乙方下达的采购订单为准，乙方应按照甲方采购订单下达的规格、数量、及订单上载明的要求进行</w:t>
      </w:r>
      <w:r>
        <w:rPr>
          <w:rFonts w:hint="eastAsia" w:ascii="仿宋_GB2312" w:hAnsi="仿宋_GB2312" w:eastAsia="仿宋_GB2312" w:cs="仿宋_GB2312"/>
          <w:bCs/>
          <w:color w:val="000000"/>
          <w:sz w:val="32"/>
          <w:szCs w:val="32"/>
          <w:lang w:eastAsia="zh-CN"/>
        </w:rPr>
        <w:t>供货</w:t>
      </w:r>
      <w:r>
        <w:rPr>
          <w:rFonts w:hint="eastAsia" w:ascii="仿宋_GB2312" w:hAnsi="仿宋_GB2312" w:eastAsia="仿宋_GB2312" w:cs="仿宋_GB2312"/>
          <w:bCs/>
          <w:color w:val="000000"/>
          <w:sz w:val="32"/>
          <w:szCs w:val="32"/>
        </w:rPr>
        <w:t>，不得超计划供货，乙方若因此产生的备货库存等情况与甲方无关，结算数量以实收数量为准，不影响单价及其他条款的执行。</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（五）乙方所能供应的货物，甲方有权在其他供应商中进行比较采购。</w:t>
      </w:r>
    </w:p>
    <w:p>
      <w:pPr>
        <w:ind w:firstLine="643" w:firstLineChars="20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二、协议价格</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（一）单价清单中各项单价是协议货物在协议规定的地点交货并且乙方完全正确履行其协议义务的价格，已包括将货物送至甲方指定地点产生或者与之相关的所有费用，包括但不限于设计、生产、检验、包装、运</w:t>
      </w:r>
      <w:r>
        <w:rPr>
          <w:rFonts w:hint="eastAsia" w:ascii="仿宋_GB2312" w:hAnsi="仿宋_GB2312" w:eastAsia="仿宋_GB2312" w:cs="仿宋_GB2312"/>
          <w:bCs/>
          <w:color w:val="auto"/>
          <w:sz w:val="32"/>
          <w:szCs w:val="32"/>
        </w:rPr>
        <w:t>输、保险、装</w:t>
      </w:r>
      <w:r>
        <w:rPr>
          <w:rFonts w:hint="eastAsia" w:ascii="仿宋_GB2312" w:hAnsi="仿宋_GB2312" w:eastAsia="仿宋_GB2312" w:cs="仿宋_GB2312"/>
          <w:bCs/>
          <w:color w:val="auto"/>
          <w:sz w:val="32"/>
          <w:szCs w:val="32"/>
          <w:lang w:val="en-US" w:eastAsia="zh-CN"/>
        </w:rPr>
        <w:t>车</w:t>
      </w:r>
      <w:r>
        <w:rPr>
          <w:rFonts w:hint="eastAsia" w:ascii="仿宋_GB2312" w:hAnsi="仿宋_GB2312" w:eastAsia="仿宋_GB2312" w:cs="仿宋_GB2312"/>
          <w:bCs/>
          <w:color w:val="auto"/>
          <w:sz w:val="32"/>
          <w:szCs w:val="32"/>
        </w:rPr>
        <w:t>、检测服务、售后服务、质保期服务等发生的所有费用以及一切</w:t>
      </w:r>
      <w:r>
        <w:rPr>
          <w:rFonts w:hint="eastAsia" w:ascii="仿宋_GB2312" w:hAnsi="仿宋_GB2312" w:eastAsia="仿宋_GB2312" w:cs="仿宋_GB2312"/>
          <w:bCs/>
          <w:color w:val="000000"/>
          <w:sz w:val="32"/>
          <w:szCs w:val="32"/>
        </w:rPr>
        <w:t>税费，乙方不得以任何理由做出不利于甲方的价格调整。</w:t>
      </w:r>
    </w:p>
    <w:p>
      <w:pPr>
        <w:tabs>
          <w:tab w:val="left" w:pos="420"/>
        </w:tabs>
        <w:spacing w:line="360" w:lineRule="auto"/>
        <w:ind w:firstLine="640" w:firstLineChars="200"/>
      </w:pPr>
      <w:r>
        <w:rPr>
          <w:rFonts w:hint="eastAsia" w:ascii="仿宋_GB2312" w:hAnsi="仿宋_GB2312" w:eastAsia="仿宋_GB2312" w:cs="仿宋_GB2312"/>
          <w:sz w:val="32"/>
          <w:szCs w:val="32"/>
        </w:rPr>
        <w:t>（二）乙方承诺向甲方提供最优惠的价格，在同一时期及相似供货量情况下，如果乙方以更低价格供应第三人时，则甲方有权要求乙方按照更低的价格最终结算。</w:t>
      </w:r>
      <w:bookmarkStart w:id="8" w:name="_GoBack"/>
      <w:bookmarkEnd w:id="8"/>
    </w:p>
    <w:p>
      <w:pPr>
        <w:tabs>
          <w:tab w:val="left" w:pos="420"/>
        </w:tabs>
        <w:spacing w:line="360" w:lineRule="auto"/>
        <w:ind w:firstLine="640" w:firstLineChars="200"/>
        <w:rPr>
          <w:rFonts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（三）在协议范围内的材料单价为可调价格，</w:t>
      </w:r>
      <w:r>
        <w:rPr>
          <w:rFonts w:hint="eastAsia" w:ascii="仿宋_GB2312" w:hAnsi="仿宋_GB2312" w:eastAsia="仿宋_GB2312" w:cs="仿宋_GB2312"/>
          <w:bCs/>
          <w:color w:val="auto"/>
          <w:sz w:val="32"/>
          <w:szCs w:val="32"/>
          <w:lang w:eastAsia="zh-CN"/>
        </w:rPr>
        <w:t>双方根据市场波动协商调价。</w:t>
      </w:r>
    </w:p>
    <w:p>
      <w:pPr>
        <w:tabs>
          <w:tab w:val="left" w:pos="420"/>
        </w:tabs>
        <w:spacing w:line="360" w:lineRule="auto"/>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三、付款</w:t>
      </w:r>
    </w:p>
    <w:p>
      <w:pPr>
        <w:adjustRightInd w:val="0"/>
        <w:ind w:firstLine="640" w:firstLineChars="200"/>
        <w:rPr>
          <w:rFonts w:hint="default"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000000"/>
          <w:sz w:val="32"/>
          <w:szCs w:val="32"/>
          <w:lang w:val="en-US" w:eastAsia="zh-CN"/>
        </w:rPr>
        <w:t>（一）付款方式：双方按月办理对账结算，</w:t>
      </w:r>
      <w:bookmarkStart w:id="0" w:name="OLE_LINK4"/>
      <w:r>
        <w:rPr>
          <w:rFonts w:hint="eastAsia" w:ascii="仿宋_GB2312" w:hAnsi="仿宋_GB2312" w:eastAsia="仿宋_GB2312" w:cs="仿宋_GB2312"/>
          <w:bCs/>
          <w:color w:val="000000"/>
          <w:sz w:val="32"/>
          <w:szCs w:val="32"/>
          <w:lang w:val="en-US" w:eastAsia="zh-CN"/>
        </w:rPr>
        <w:t>次月办理上月结算后2个月内支付供货货款，</w:t>
      </w:r>
      <w:bookmarkEnd w:id="0"/>
      <w:bookmarkStart w:id="1" w:name="OLE_LINK5"/>
      <w:r>
        <w:rPr>
          <w:rFonts w:hint="eastAsia" w:ascii="仿宋_GB2312" w:hAnsi="仿宋_GB2312" w:eastAsia="仿宋_GB2312" w:cs="仿宋_GB2312"/>
          <w:bCs/>
          <w:color w:val="000000"/>
          <w:sz w:val="32"/>
          <w:szCs w:val="32"/>
          <w:lang w:val="en-US" w:eastAsia="zh-CN"/>
        </w:rPr>
        <w:t>付款比例：</w:t>
      </w:r>
      <w:bookmarkEnd w:id="1"/>
      <w:bookmarkStart w:id="2" w:name="OLE_LINK2"/>
      <w:r>
        <w:rPr>
          <w:rFonts w:hint="eastAsia" w:ascii="仿宋_GB2312" w:hAnsi="仿宋_GB2312" w:eastAsia="仿宋_GB2312" w:cs="仿宋_GB2312"/>
          <w:bCs/>
          <w:color w:val="000000"/>
          <w:sz w:val="32"/>
          <w:szCs w:val="32"/>
          <w:lang w:val="en-US" w:eastAsia="zh-CN"/>
        </w:rPr>
        <w:t>公司建设的</w:t>
      </w:r>
      <w:bookmarkStart w:id="3" w:name="OLE_LINK1"/>
      <w:r>
        <w:rPr>
          <w:rFonts w:hint="eastAsia" w:ascii="仿宋_GB2312" w:hAnsi="仿宋_GB2312" w:eastAsia="仿宋_GB2312" w:cs="仿宋_GB2312"/>
          <w:bCs/>
          <w:color w:val="000000"/>
          <w:sz w:val="32"/>
          <w:szCs w:val="32"/>
          <w:lang w:val="en-US" w:eastAsia="zh-CN"/>
        </w:rPr>
        <w:t>房产开发、大型房建项目</w:t>
      </w:r>
      <w:bookmarkEnd w:id="3"/>
      <w:r>
        <w:rPr>
          <w:rFonts w:hint="eastAsia" w:ascii="仿宋_GB2312" w:hAnsi="仿宋_GB2312" w:eastAsia="仿宋_GB2312" w:cs="仿宋_GB2312"/>
          <w:bCs/>
          <w:color w:val="000000"/>
          <w:sz w:val="32"/>
          <w:szCs w:val="32"/>
          <w:lang w:val="en-US" w:eastAsia="zh-CN"/>
        </w:rPr>
        <w:t>的供应，公司转账支付货款的比例为50%，剩余50%货款采用抵房（房源为城投公司及子公司持有的不动产）的方式进行抵扣，金额以结算月当期不动产市场售价为准，双方另行签订工抵房协议、商品房买卖合同</w:t>
      </w:r>
      <w:bookmarkEnd w:id="2"/>
      <w:r>
        <w:rPr>
          <w:rFonts w:hint="eastAsia" w:ascii="仿宋_GB2312" w:hAnsi="仿宋_GB2312" w:eastAsia="仿宋_GB2312" w:cs="仿宋_GB2312"/>
          <w:bCs/>
          <w:color w:val="000000"/>
          <w:sz w:val="32"/>
          <w:szCs w:val="32"/>
          <w:lang w:val="en-US" w:eastAsia="zh-CN"/>
        </w:rPr>
        <w:t>。其他小型项目的供应，公司转账支付货款比例为80%，剩余货款在年度供应期结束后3个月内无息支付）。</w:t>
      </w:r>
      <w:r>
        <w:rPr>
          <w:rFonts w:hint="eastAsia" w:ascii="仿宋_GB2312" w:hAnsi="仿宋_GB2312" w:eastAsia="仿宋_GB2312" w:cs="仿宋_GB2312"/>
          <w:bCs/>
          <w:color w:val="000000"/>
          <w:sz w:val="32"/>
          <w:szCs w:val="32"/>
        </w:rPr>
        <w:t>乙方提交付款资料并开具</w:t>
      </w:r>
      <w:r>
        <w:rPr>
          <w:rFonts w:hint="eastAsia" w:ascii="仿宋_GB2312" w:hAnsi="仿宋_GB2312" w:eastAsia="仿宋_GB2312" w:cs="仿宋_GB2312"/>
          <w:bCs/>
          <w:color w:val="000000"/>
          <w:sz w:val="32"/>
          <w:szCs w:val="32"/>
          <w:lang w:eastAsia="zh-CN"/>
        </w:rPr>
        <w:t>增值税专用</w:t>
      </w:r>
      <w:r>
        <w:rPr>
          <w:rFonts w:hint="eastAsia" w:ascii="仿宋_GB2312" w:hAnsi="仿宋_GB2312" w:eastAsia="仿宋_GB2312" w:cs="仿宋_GB2312"/>
          <w:bCs/>
          <w:color w:val="000000"/>
          <w:sz w:val="32"/>
          <w:szCs w:val="32"/>
        </w:rPr>
        <w:t>发票后，甲方才具有支付义务。</w:t>
      </w:r>
    </w:p>
    <w:p>
      <w:pPr>
        <w:adjustRightInd w:val="0"/>
        <w:ind w:firstLine="640" w:firstLineChars="200"/>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w:t>
      </w:r>
      <w:r>
        <w:rPr>
          <w:rFonts w:hint="eastAsia" w:ascii="仿宋_GB2312" w:hAnsi="仿宋_GB2312" w:eastAsia="仿宋_GB2312" w:cs="仿宋_GB2312"/>
          <w:bCs/>
          <w:color w:val="000000"/>
          <w:sz w:val="32"/>
          <w:szCs w:val="32"/>
          <w:lang w:val="en-US" w:eastAsia="zh-CN"/>
        </w:rPr>
        <w:t>二</w:t>
      </w:r>
      <w:r>
        <w:rPr>
          <w:rFonts w:hint="eastAsia" w:ascii="仿宋_GB2312" w:hAnsi="仿宋_GB2312" w:eastAsia="仿宋_GB2312" w:cs="仿宋_GB2312"/>
          <w:bCs/>
          <w:color w:val="000000"/>
          <w:sz w:val="32"/>
          <w:szCs w:val="32"/>
        </w:rPr>
        <w:t>）乙方以项目为单位单独开具有效的增值税专用发票，</w:t>
      </w:r>
      <w:r>
        <w:rPr>
          <w:rFonts w:hint="eastAsia" w:ascii="仿宋_GB2312" w:hAnsi="仿宋_GB2312" w:eastAsia="仿宋_GB2312" w:cs="仿宋_GB2312"/>
          <w:bCs/>
          <w:color w:val="000000"/>
          <w:sz w:val="32"/>
          <w:szCs w:val="32"/>
          <w:lang w:eastAsia="zh-CN"/>
        </w:rPr>
        <w:t>发票备注栏需备注项目名称及项目地址，</w:t>
      </w:r>
      <w:r>
        <w:rPr>
          <w:rFonts w:hint="eastAsia" w:ascii="仿宋_GB2312" w:hAnsi="仿宋_GB2312" w:eastAsia="仿宋_GB2312" w:cs="仿宋_GB2312"/>
          <w:bCs/>
          <w:color w:val="000000"/>
          <w:sz w:val="32"/>
          <w:szCs w:val="32"/>
        </w:rPr>
        <w:t>发票上产品描述需要与订货单产品描述一致，如有变化，请另附说明，该说明须甲方签字确认。</w:t>
      </w:r>
    </w:p>
    <w:p>
      <w:pPr>
        <w:adjustRightInd w:val="0"/>
        <w:ind w:firstLine="640" w:firstLineChars="200"/>
        <w:rPr>
          <w:rFonts w:hint="default" w:ascii="仿宋_GB2312" w:hAnsi="仿宋_GB2312" w:eastAsia="仿宋_GB2312" w:cs="仿宋_GB2312"/>
          <w:bCs/>
          <w:color w:val="000000"/>
          <w:sz w:val="32"/>
          <w:szCs w:val="32"/>
          <w:lang w:val="en-US" w:eastAsia="zh-CN"/>
        </w:rPr>
      </w:pPr>
      <w:bookmarkStart w:id="4" w:name="OLE_LINK8"/>
      <w:r>
        <w:rPr>
          <w:rFonts w:hint="eastAsia" w:ascii="仿宋_GB2312" w:hAnsi="仿宋_GB2312" w:eastAsia="仿宋_GB2312" w:cs="仿宋_GB2312"/>
          <w:bCs/>
          <w:color w:val="000000"/>
          <w:sz w:val="32"/>
          <w:szCs w:val="32"/>
          <w:lang w:eastAsia="zh-CN"/>
        </w:rPr>
        <w:t>（</w:t>
      </w:r>
      <w:r>
        <w:rPr>
          <w:rFonts w:hint="eastAsia" w:ascii="仿宋_GB2312" w:hAnsi="仿宋_GB2312" w:eastAsia="仿宋_GB2312" w:cs="仿宋_GB2312"/>
          <w:bCs/>
          <w:color w:val="000000"/>
          <w:sz w:val="32"/>
          <w:szCs w:val="32"/>
          <w:lang w:val="en-US" w:eastAsia="zh-CN"/>
        </w:rPr>
        <w:t>三</w:t>
      </w:r>
      <w:r>
        <w:rPr>
          <w:rFonts w:hint="eastAsia" w:ascii="仿宋_GB2312" w:hAnsi="仿宋_GB2312" w:eastAsia="仿宋_GB2312" w:cs="仿宋_GB2312"/>
          <w:bCs/>
          <w:color w:val="000000"/>
          <w:sz w:val="32"/>
          <w:szCs w:val="32"/>
          <w:lang w:eastAsia="zh-CN"/>
        </w:rPr>
        <w:t>）</w:t>
      </w:r>
      <w:r>
        <w:rPr>
          <w:rFonts w:hint="eastAsia" w:ascii="仿宋_GB2312" w:hAnsi="仿宋_GB2312" w:eastAsia="仿宋_GB2312" w:cs="仿宋_GB2312"/>
          <w:bCs/>
          <w:color w:val="000000"/>
          <w:sz w:val="32"/>
          <w:szCs w:val="32"/>
          <w:lang w:val="en-US" w:eastAsia="zh-CN"/>
        </w:rPr>
        <w:t>以实际供应数量进行结算。</w:t>
      </w:r>
    </w:p>
    <w:bookmarkEnd w:id="4"/>
    <w:p>
      <w:pPr>
        <w:ind w:firstLine="643" w:firstLineChars="20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四、供应项目，交货方式、时间、地点</w:t>
      </w:r>
    </w:p>
    <w:p>
      <w:pPr>
        <w:keepNext w:val="0"/>
        <w:keepLines w:val="0"/>
        <w:pageBreakBefore w:val="0"/>
        <w:widowControl/>
        <w:kinsoku/>
        <w:wordWrap/>
        <w:overflowPunct/>
        <w:topLinePunct w:val="0"/>
        <w:autoSpaceDE/>
        <w:autoSpaceDN/>
        <w:bidi w:val="0"/>
        <w:adjustRightInd w:val="0"/>
        <w:snapToGrid w:val="0"/>
        <w:spacing w:after="0" w:line="576" w:lineRule="exact"/>
        <w:ind w:left="0" w:leftChars="0" w:right="0" w:rightChars="0" w:firstLine="640"/>
        <w:jc w:val="left"/>
        <w:textAlignment w:val="auto"/>
        <w:outlineLvl w:val="9"/>
        <w:rPr>
          <w:rFonts w:hint="eastAsia" w:ascii="仿宋_GB2312" w:hAnsi="仿宋_GB2312" w:eastAsia="仿宋_GB2312" w:cs="仿宋_GB2312"/>
          <w:bCs/>
          <w:color w:val="000000"/>
          <w:sz w:val="32"/>
          <w:szCs w:val="32"/>
          <w:u w:val="none"/>
          <w:lang w:val="en-US" w:eastAsia="zh-CN"/>
        </w:rPr>
      </w:pPr>
      <w:r>
        <w:rPr>
          <w:rFonts w:hint="eastAsia" w:ascii="仿宋_GB2312" w:hAnsi="仿宋_GB2312" w:eastAsia="仿宋_GB2312" w:cs="仿宋_GB2312"/>
          <w:bCs/>
          <w:color w:val="000000"/>
          <w:sz w:val="32"/>
          <w:szCs w:val="32"/>
        </w:rPr>
        <w:t>（一）乙方应按照甲方的采购订单打印一式三份的发货清单，将产品交付甲方要求地点由甲方收货人签字确认。供应项目：</w:t>
      </w:r>
      <w:r>
        <w:rPr>
          <w:rFonts w:hint="eastAsia" w:ascii="仿宋_GB2312" w:hAnsi="仿宋_GB2312" w:eastAsia="仿宋_GB2312" w:cs="仿宋_GB2312"/>
          <w:bCs/>
          <w:color w:val="000000"/>
          <w:sz w:val="32"/>
          <w:szCs w:val="32"/>
          <w:u w:val="single"/>
          <w:lang w:val="en-US" w:eastAsia="zh-CN"/>
        </w:rPr>
        <w:t xml:space="preserve"> 公司在建及新建项目 </w:t>
      </w:r>
      <w:r>
        <w:rPr>
          <w:rFonts w:hint="eastAsia" w:ascii="仿宋_GB2312" w:hAnsi="仿宋_GB2312" w:eastAsia="仿宋_GB2312" w:cs="仿宋_GB2312"/>
          <w:bCs/>
          <w:color w:val="000000"/>
          <w:sz w:val="32"/>
          <w:szCs w:val="32"/>
          <w:u w:val="none"/>
          <w:lang w:val="en-US" w:eastAsia="zh-CN"/>
        </w:rPr>
        <w:t>。</w:t>
      </w:r>
    </w:p>
    <w:p>
      <w:pPr>
        <w:keepNext w:val="0"/>
        <w:keepLines w:val="0"/>
        <w:pageBreakBefore w:val="0"/>
        <w:widowControl/>
        <w:kinsoku/>
        <w:wordWrap/>
        <w:overflowPunct/>
        <w:topLinePunct w:val="0"/>
        <w:autoSpaceDE/>
        <w:autoSpaceDN/>
        <w:bidi w:val="0"/>
        <w:adjustRightInd w:val="0"/>
        <w:snapToGrid w:val="0"/>
        <w:spacing w:after="0" w:line="576" w:lineRule="exact"/>
        <w:ind w:left="0" w:leftChars="0" w:right="0" w:rightChars="0" w:firstLine="640"/>
        <w:jc w:val="left"/>
        <w:textAlignment w:val="auto"/>
        <w:outlineLvl w:val="9"/>
        <w:rPr>
          <w:rFonts w:ascii="仿宋_GB2312" w:hAnsi="仿宋_GB2312" w:eastAsia="仿宋_GB2312" w:cs="仿宋_GB2312"/>
          <w:bCs/>
          <w:color w:val="000000"/>
          <w:sz w:val="32"/>
          <w:szCs w:val="32"/>
        </w:rPr>
      </w:pPr>
      <w:bookmarkStart w:id="5" w:name="OLE_LINK3"/>
      <w:r>
        <w:rPr>
          <w:rFonts w:hint="eastAsia" w:ascii="仿宋_GB2312" w:hAnsi="仿宋_GB2312" w:eastAsia="仿宋_GB2312" w:cs="仿宋_GB2312"/>
          <w:bCs/>
          <w:color w:val="000000"/>
          <w:sz w:val="32"/>
          <w:szCs w:val="32"/>
          <w:lang w:val="en-US" w:eastAsia="zh-CN"/>
        </w:rPr>
        <w:t>针对新开工项目地理位置及送货路程特殊性，如合同内运输报价区域未包含在内，可根据具体项目实际情况双方协商后确定运输价格，签订补充协议后进行结算。</w:t>
      </w:r>
    </w:p>
    <w:bookmarkEnd w:id="5"/>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二）乙方保证甲方项目供应数量，负责供应调货等；乙方应根据甲方通知的供货数量、强度等级、时间送至甲方指定地点，甲方（项目部）指定专人，对乙方交付的货物进行验收并在发货单上签字确认，发货单作为双方结算依据之一，双方还应按合同约定进行后续的检验。</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（三）乙方运输货物需填写发货单，发货单要准确填写</w:t>
      </w:r>
      <w:r>
        <w:rPr>
          <w:rFonts w:hint="eastAsia" w:ascii="仿宋_GB2312" w:hAnsi="仿宋_GB2312" w:eastAsia="仿宋_GB2312" w:cs="仿宋_GB2312"/>
          <w:bCs/>
          <w:color w:val="000000"/>
          <w:sz w:val="32"/>
          <w:szCs w:val="32"/>
          <w:lang w:eastAsia="zh-CN"/>
        </w:rPr>
        <w:t>产品名称、</w:t>
      </w:r>
      <w:r>
        <w:rPr>
          <w:rFonts w:hint="eastAsia" w:ascii="仿宋_GB2312" w:hAnsi="仿宋_GB2312" w:eastAsia="仿宋_GB2312" w:cs="仿宋_GB2312"/>
          <w:bCs/>
          <w:color w:val="000000"/>
          <w:sz w:val="32"/>
          <w:szCs w:val="32"/>
        </w:rPr>
        <w:t>车号、品种、规格、数量、时间等。</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（四）乙方应自行选择适宜的运输工具及线路安排货物运输并满足国家相关环保规定要求。</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（五）乙方货物交付给甲方之前包括运输在内的所有风险均由乙方承担，货物的所有权和货损风险，在甲方完成验收后转移至甲方。</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（六）甲方按月向乙方报材料计划，批量需求须提前</w:t>
      </w:r>
      <w:r>
        <w:rPr>
          <w:rFonts w:hint="eastAsia" w:ascii="仿宋_GB2312" w:hAnsi="仿宋_GB2312" w:eastAsia="仿宋_GB2312" w:cs="仿宋_GB2312"/>
          <w:bCs/>
          <w:color w:val="000000"/>
          <w:sz w:val="32"/>
          <w:szCs w:val="32"/>
          <w:u w:val="single"/>
          <w:lang w:val="en-US" w:eastAsia="zh-CN"/>
        </w:rPr>
        <w:t>7</w:t>
      </w:r>
      <w:r>
        <w:rPr>
          <w:rFonts w:hint="eastAsia" w:ascii="仿宋_GB2312" w:hAnsi="仿宋_GB2312" w:eastAsia="仿宋_GB2312" w:cs="仿宋_GB2312"/>
          <w:bCs/>
          <w:color w:val="000000"/>
          <w:sz w:val="32"/>
          <w:szCs w:val="32"/>
        </w:rPr>
        <w:t>日向乙方提供供货需求；甲方有零星需求时，须提前</w:t>
      </w:r>
      <w:r>
        <w:rPr>
          <w:rFonts w:hint="eastAsia" w:ascii="仿宋_GB2312" w:hAnsi="仿宋_GB2312" w:eastAsia="仿宋_GB2312" w:cs="仿宋_GB2312"/>
          <w:bCs/>
          <w:color w:val="000000"/>
          <w:sz w:val="32"/>
          <w:szCs w:val="32"/>
          <w:u w:val="single"/>
          <w:lang w:val="en-US" w:eastAsia="zh-CN"/>
        </w:rPr>
        <w:t>1</w:t>
      </w:r>
      <w:r>
        <w:rPr>
          <w:rFonts w:hint="eastAsia" w:ascii="仿宋_GB2312" w:hAnsi="仿宋_GB2312" w:eastAsia="仿宋_GB2312" w:cs="仿宋_GB2312"/>
          <w:bCs/>
          <w:color w:val="000000"/>
          <w:sz w:val="32"/>
          <w:szCs w:val="32"/>
          <w:lang w:eastAsia="zh-CN"/>
        </w:rPr>
        <w:t>日</w:t>
      </w:r>
      <w:r>
        <w:rPr>
          <w:rFonts w:hint="eastAsia" w:ascii="仿宋_GB2312" w:hAnsi="仿宋_GB2312" w:eastAsia="仿宋_GB2312" w:cs="仿宋_GB2312"/>
          <w:bCs/>
          <w:color w:val="000000"/>
          <w:sz w:val="32"/>
          <w:szCs w:val="32"/>
        </w:rPr>
        <w:t>向乙方提供供货需求。乙方应按时交付，</w:t>
      </w:r>
      <w:r>
        <w:rPr>
          <w:rFonts w:hint="eastAsia" w:ascii="仿宋_GB2312" w:hAnsi="仿宋_GB2312" w:eastAsia="仿宋_GB2312" w:cs="仿宋_GB2312"/>
          <w:bCs/>
          <w:color w:val="000000"/>
          <w:sz w:val="32"/>
          <w:szCs w:val="32"/>
          <w:u w:val="single"/>
          <w:lang w:val="en-US" w:eastAsia="zh-CN"/>
        </w:rPr>
        <w:t>24</w:t>
      </w:r>
      <w:r>
        <w:rPr>
          <w:rFonts w:hint="eastAsia" w:ascii="仿宋_GB2312" w:hAnsi="仿宋_GB2312" w:eastAsia="仿宋_GB2312" w:cs="仿宋_GB2312"/>
          <w:bCs/>
          <w:color w:val="000000"/>
          <w:sz w:val="32"/>
          <w:szCs w:val="32"/>
        </w:rPr>
        <w:t>小时无条件供应。</w:t>
      </w:r>
    </w:p>
    <w:p>
      <w:pPr>
        <w:ind w:firstLine="643" w:firstLineChars="20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五、运输、保险及包装</w:t>
      </w:r>
    </w:p>
    <w:p>
      <w:pPr>
        <w:ind w:firstLine="640" w:firstLineChars="200"/>
        <w:rPr>
          <w:rFonts w:hint="eastAsia" w:ascii="仿宋_GB2312" w:hAnsi="仿宋_GB2312" w:eastAsia="仿宋_GB2312" w:cs="仿宋_GB2312"/>
          <w:bCs/>
          <w:color w:val="000000"/>
          <w:sz w:val="32"/>
          <w:szCs w:val="32"/>
          <w:lang w:eastAsia="zh-CN"/>
        </w:rPr>
      </w:pPr>
      <w:r>
        <w:rPr>
          <w:rFonts w:hint="eastAsia" w:ascii="仿宋_GB2312" w:hAnsi="仿宋_GB2312" w:eastAsia="仿宋_GB2312" w:cs="仿宋_GB2312"/>
          <w:bCs/>
          <w:color w:val="000000"/>
          <w:sz w:val="32"/>
          <w:szCs w:val="32"/>
          <w:lang w:eastAsia="zh-CN"/>
        </w:rPr>
        <w:t>（一）乙方承担所有的运费、装卸费、打包费等相关费用。（其中卸车费：</w:t>
      </w:r>
      <w:bookmarkStart w:id="6" w:name="OLE_LINK7"/>
      <w:r>
        <w:rPr>
          <w:rFonts w:hint="eastAsia" w:ascii="仿宋_GB2312" w:hAnsi="仿宋_GB2312" w:eastAsia="仿宋_GB2312" w:cs="仿宋_GB2312"/>
          <w:bCs/>
          <w:color w:val="000000"/>
          <w:sz w:val="32"/>
          <w:szCs w:val="32"/>
          <w:lang w:val="en-US" w:eastAsia="zh-CN"/>
        </w:rPr>
        <w:t>房产开发、大型房建项目</w:t>
      </w:r>
      <w:bookmarkEnd w:id="6"/>
      <w:r>
        <w:rPr>
          <w:rFonts w:hint="eastAsia" w:ascii="仿宋_GB2312" w:hAnsi="仿宋_GB2312" w:eastAsia="仿宋_GB2312" w:cs="仿宋_GB2312"/>
          <w:bCs/>
          <w:color w:val="000000"/>
          <w:sz w:val="32"/>
          <w:szCs w:val="32"/>
          <w:lang w:eastAsia="zh-CN"/>
        </w:rPr>
        <w:t>包含卸车，</w:t>
      </w:r>
      <w:r>
        <w:rPr>
          <w:rFonts w:hint="eastAsia" w:ascii="仿宋_GB2312" w:hAnsi="仿宋_GB2312" w:eastAsia="仿宋_GB2312" w:cs="仿宋_GB2312"/>
          <w:bCs/>
          <w:color w:val="000000"/>
          <w:sz w:val="32"/>
          <w:szCs w:val="32"/>
          <w:lang w:val="en-US" w:eastAsia="zh-CN"/>
        </w:rPr>
        <w:t>小型项目、</w:t>
      </w:r>
      <w:r>
        <w:rPr>
          <w:rFonts w:hint="eastAsia" w:ascii="仿宋_GB2312" w:hAnsi="仿宋_GB2312" w:eastAsia="仿宋_GB2312" w:cs="仿宋_GB2312"/>
          <w:bCs/>
          <w:color w:val="000000"/>
          <w:sz w:val="32"/>
          <w:szCs w:val="32"/>
          <w:lang w:eastAsia="zh-CN"/>
        </w:rPr>
        <w:t>装饰装修</w:t>
      </w:r>
      <w:r>
        <w:rPr>
          <w:rFonts w:hint="eastAsia" w:ascii="仿宋_GB2312" w:hAnsi="仿宋_GB2312" w:eastAsia="仿宋_GB2312" w:cs="仿宋_GB2312"/>
          <w:bCs/>
          <w:color w:val="000000"/>
          <w:sz w:val="32"/>
          <w:szCs w:val="32"/>
          <w:lang w:val="en-US" w:eastAsia="zh-CN"/>
        </w:rPr>
        <w:t>项目由甲方自行安排</w:t>
      </w:r>
      <w:r>
        <w:rPr>
          <w:rFonts w:hint="eastAsia" w:ascii="仿宋_GB2312" w:hAnsi="仿宋_GB2312" w:eastAsia="仿宋_GB2312" w:cs="仿宋_GB2312"/>
          <w:bCs/>
          <w:color w:val="000000"/>
          <w:sz w:val="32"/>
          <w:szCs w:val="32"/>
          <w:lang w:eastAsia="zh-CN"/>
        </w:rPr>
        <w:t>卸车）。</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（二）乙方承担在货物运到甲方指定地点之前的一切安全责任和所有保险费用。</w:t>
      </w:r>
    </w:p>
    <w:p>
      <w:pPr>
        <w:ind w:firstLine="643" w:firstLineChars="20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六、质量、验收标准和质保</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（一）质量标准</w:t>
      </w:r>
    </w:p>
    <w:p>
      <w:pPr>
        <w:tabs>
          <w:tab w:val="left" w:pos="420"/>
        </w:tabs>
        <w:spacing w:line="360" w:lineRule="auto"/>
        <w:ind w:firstLine="640" w:firstLineChars="200"/>
        <w:rPr>
          <w:rFonts w:hint="eastAsia"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000000"/>
          <w:sz w:val="32"/>
          <w:szCs w:val="32"/>
        </w:rPr>
        <w:t>1、供货方交付的产品质量应当符合国家标准的要求，并且应当符合相关行业标准等的要求，达到使用要求</w:t>
      </w:r>
      <w:r>
        <w:rPr>
          <w:rFonts w:hint="eastAsia" w:ascii="仿宋_GB2312" w:hAnsi="仿宋_GB2312" w:eastAsia="仿宋_GB2312" w:cs="仿宋_GB2312"/>
          <w:bCs/>
          <w:color w:val="000000"/>
          <w:sz w:val="32"/>
          <w:szCs w:val="32"/>
          <w:lang w:eastAsia="zh-CN"/>
        </w:rPr>
        <w:t>。烧结普通砖符合</w:t>
      </w:r>
      <w:r>
        <w:rPr>
          <w:rFonts w:hint="eastAsia" w:ascii="仿宋_GB2312" w:hAnsi="仿宋_GB2312" w:eastAsia="仿宋_GB2312" w:cs="仿宋_GB2312"/>
          <w:bCs/>
          <w:color w:val="000000"/>
          <w:sz w:val="32"/>
          <w:szCs w:val="32"/>
          <w:lang w:val="en-US" w:eastAsia="zh-CN"/>
        </w:rPr>
        <w:t>GB/T 5101-2017 《烧结普通砖》标准要求，烧结多孔砖符合GB/T 13544-2011 《烧结多孔砖和多孔砌块》标准要求。</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2、非标产品按照甲方技术要求的质量标准进行生产、交货。</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3、如检验发现产品不符合本合同质量条款规定，甲方有权拒绝付款且乙方应赔偿甲方因此而受到的直接和间接损失。</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（二）验收标准</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 甲方根据本合同相关标准等方面的有关规定，对乙方交付的产品进行验收，但甲方的验收不免除乙方的任何质量保证责任和义务。货物交付前，乙方应对其进行全面检验，并在交付货物时向甲方提交货物的质量合格证书、检测报告、质量保证书等相关资料，证明书内容要和现场进料单所标明内容相对应。</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2、甲方验收方法：质量按合同约定的标准验收；数量按甲方验收合格后的实际数量为准。</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3、甲方应在产品进场验收后或使用过程中出现质量问题后5个工作日内书面通知乙方提出异议，但需经第三方检测机构出具相关报告认定产品不合格或者存在质量缺陷的，提出异议不受上述期限的限制。</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（三）质保</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1、乙方必须保证向甲方供应商品质量合格，</w:t>
      </w:r>
      <w:r>
        <w:rPr>
          <w:rFonts w:hint="eastAsia" w:ascii="仿宋_GB2312" w:hAnsi="仿宋_GB2312" w:eastAsia="仿宋_GB2312" w:cs="仿宋_GB2312"/>
          <w:bCs/>
          <w:color w:val="000000"/>
          <w:sz w:val="32"/>
          <w:szCs w:val="32"/>
          <w:lang w:eastAsia="zh-CN"/>
        </w:rPr>
        <w:t>保证供货产品的</w:t>
      </w:r>
      <w:r>
        <w:rPr>
          <w:rFonts w:hint="eastAsia" w:ascii="仿宋_GB2312" w:hAnsi="仿宋_GB2312" w:eastAsia="仿宋_GB2312" w:cs="仿宋_GB2312"/>
          <w:bCs/>
          <w:color w:val="000000"/>
          <w:sz w:val="32"/>
          <w:szCs w:val="32"/>
          <w:lang w:val="en-US" w:eastAsia="zh-CN"/>
        </w:rPr>
        <w:t>95%不翻硝，</w:t>
      </w:r>
      <w:r>
        <w:rPr>
          <w:rFonts w:hint="eastAsia" w:ascii="仿宋_GB2312" w:hAnsi="仿宋_GB2312" w:eastAsia="仿宋_GB2312" w:cs="仿宋_GB2312"/>
          <w:bCs/>
          <w:color w:val="000000"/>
          <w:sz w:val="32"/>
          <w:szCs w:val="32"/>
        </w:rPr>
        <w:t>一经发现所供应商品存在质量问题的，乙方自愿赔偿由此给甲方造成的实际损失，且甲方有权解除合作协议，并永久性取消与甲方的合作。</w:t>
      </w:r>
    </w:p>
    <w:p>
      <w:pPr>
        <w:tabs>
          <w:tab w:val="left" w:pos="420"/>
        </w:tabs>
        <w:spacing w:line="360" w:lineRule="auto"/>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七、违约责任</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乙方货物不合格的，出现泛霜（俗称“翻硝”）的，应由乙方负责包换并承担相关费用，以及由此造成的甲方的损失（包括但不限于造成返工的人工费、材料费、管理费以及工期延误费）。</w:t>
      </w:r>
    </w:p>
    <w:p>
      <w:pPr>
        <w:ind w:firstLine="643" w:firstLineChars="20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八、合同的解除</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乙方有下列情形之一的，甲方有权解除合同:</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1、乙方不能按照甲方约定的时间交付产品超过10日的，或者交付产品存在质量问题的；</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2、乙方交付的产品不符合约定的质量标准;乙方交付的产品泛霜（俗称“翻硝”）严重，经返工仍达不到甲方要求的。</w:t>
      </w:r>
    </w:p>
    <w:p>
      <w:pPr>
        <w:ind w:firstLine="643" w:firstLineChars="20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九、合同期限</w:t>
      </w:r>
    </w:p>
    <w:p>
      <w:pPr>
        <w:ind w:firstLine="640" w:firstLineChars="200"/>
        <w:rPr>
          <w:rFonts w:hint="eastAsia" w:ascii="仿宋_GB2312" w:hAnsi="仿宋_GB2312" w:eastAsia="仿宋_GB2312" w:cs="仿宋_GB2312"/>
          <w:bCs/>
          <w:color w:val="000000"/>
          <w:sz w:val="32"/>
          <w:szCs w:val="32"/>
          <w:lang w:eastAsia="zh-CN"/>
        </w:rPr>
      </w:pPr>
      <w:r>
        <w:rPr>
          <w:rFonts w:hint="eastAsia" w:ascii="仿宋_GB2312" w:hAnsi="仿宋_GB2312" w:eastAsia="仿宋_GB2312" w:cs="仿宋_GB2312"/>
          <w:bCs/>
          <w:color w:val="000000"/>
          <w:sz w:val="32"/>
          <w:szCs w:val="32"/>
        </w:rPr>
        <w:t>本合同有效期限自202</w:t>
      </w:r>
      <w:r>
        <w:rPr>
          <w:rFonts w:hint="eastAsia" w:ascii="仿宋_GB2312" w:hAnsi="仿宋_GB2312" w:eastAsia="仿宋_GB2312" w:cs="仿宋_GB2312"/>
          <w:bCs/>
          <w:color w:val="000000"/>
          <w:sz w:val="32"/>
          <w:szCs w:val="32"/>
          <w:lang w:val="en-US" w:eastAsia="zh-CN"/>
        </w:rPr>
        <w:t>5</w:t>
      </w:r>
      <w:r>
        <w:rPr>
          <w:rFonts w:hint="eastAsia" w:ascii="仿宋_GB2312" w:hAnsi="仿宋_GB2312" w:eastAsia="仿宋_GB2312" w:cs="仿宋_GB2312"/>
          <w:bCs/>
          <w:color w:val="000000"/>
          <w:sz w:val="32"/>
          <w:szCs w:val="32"/>
        </w:rPr>
        <w:t>年</w:t>
      </w:r>
      <w:r>
        <w:rPr>
          <w:rFonts w:hint="eastAsia" w:ascii="仿宋_GB2312" w:hAnsi="仿宋_GB2312" w:eastAsia="仿宋_GB2312" w:cs="仿宋_GB2312"/>
          <w:bCs/>
          <w:color w:val="000000"/>
          <w:sz w:val="32"/>
          <w:szCs w:val="32"/>
          <w:lang w:val="en-US" w:eastAsia="zh-CN"/>
        </w:rPr>
        <w:t>06</w:t>
      </w:r>
      <w:r>
        <w:rPr>
          <w:rFonts w:hint="eastAsia" w:ascii="仿宋_GB2312" w:hAnsi="仿宋_GB2312" w:eastAsia="仿宋_GB2312" w:cs="仿宋_GB2312"/>
          <w:bCs/>
          <w:color w:val="000000"/>
          <w:sz w:val="32"/>
          <w:szCs w:val="32"/>
        </w:rPr>
        <w:t>月至</w:t>
      </w:r>
      <w:r>
        <w:rPr>
          <w:rFonts w:hint="eastAsia" w:ascii="仿宋_GB2312" w:hAnsi="仿宋_GB2312" w:eastAsia="仿宋_GB2312" w:cs="仿宋_GB2312"/>
          <w:bCs/>
          <w:color w:val="000000"/>
          <w:sz w:val="32"/>
          <w:szCs w:val="32"/>
          <w:lang w:val="en-US" w:eastAsia="zh-CN"/>
        </w:rPr>
        <w:t>2026</w:t>
      </w:r>
      <w:r>
        <w:rPr>
          <w:rFonts w:hint="eastAsia" w:ascii="仿宋_GB2312" w:hAnsi="仿宋_GB2312" w:eastAsia="仿宋_GB2312" w:cs="仿宋_GB2312"/>
          <w:bCs/>
          <w:color w:val="000000"/>
          <w:sz w:val="32"/>
          <w:szCs w:val="32"/>
        </w:rPr>
        <w:t>年</w:t>
      </w:r>
      <w:r>
        <w:rPr>
          <w:rFonts w:hint="eastAsia" w:ascii="仿宋_GB2312" w:hAnsi="仿宋_GB2312" w:eastAsia="仿宋_GB2312" w:cs="仿宋_GB2312"/>
          <w:bCs/>
          <w:color w:val="000000"/>
          <w:sz w:val="32"/>
          <w:szCs w:val="32"/>
          <w:lang w:val="en-US" w:eastAsia="zh-CN"/>
        </w:rPr>
        <w:t>05</w:t>
      </w:r>
      <w:r>
        <w:rPr>
          <w:rFonts w:hint="eastAsia" w:ascii="仿宋_GB2312" w:hAnsi="仿宋_GB2312" w:eastAsia="仿宋_GB2312" w:cs="仿宋_GB2312"/>
          <w:bCs/>
          <w:color w:val="000000"/>
          <w:sz w:val="32"/>
          <w:szCs w:val="32"/>
        </w:rPr>
        <w:t>月</w:t>
      </w:r>
      <w:r>
        <w:rPr>
          <w:rFonts w:hint="eastAsia" w:ascii="仿宋_GB2312" w:hAnsi="仿宋_GB2312" w:eastAsia="仿宋_GB2312" w:cs="仿宋_GB2312"/>
          <w:bCs/>
          <w:color w:val="000000"/>
          <w:sz w:val="32"/>
          <w:szCs w:val="32"/>
          <w:lang w:eastAsia="zh-CN"/>
        </w:rPr>
        <w:t>。</w:t>
      </w:r>
    </w:p>
    <w:p>
      <w:pPr>
        <w:ind w:firstLine="643" w:firstLineChars="20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十、争议的解决</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1、在合同履行过程中，如需对合同进行变更，经双方协商一致后可以变更或解除，双方应签订书面协议，并经双方法定代表人（单位负责人）或其授权代表签字并加盖单位章后生效。</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2、如因不可抗力（地震、海啸、瘟疫、水灾、骚乱、暴动、战争）或生产事故不能按期交货的，双方可根据实际情况协商变更或解除合同。</w:t>
      </w:r>
    </w:p>
    <w:p>
      <w:pPr>
        <w:tabs>
          <w:tab w:val="left" w:pos="420"/>
        </w:tabs>
        <w:spacing w:line="360" w:lineRule="auto"/>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3、执行本合同发生争议时，由当事人协商解决，若协商不成，</w:t>
      </w:r>
      <w:r>
        <w:rPr>
          <w:rFonts w:hint="eastAsia" w:ascii="仿宋_GB2312" w:hAnsi="仿宋_GB2312" w:eastAsia="仿宋_GB2312" w:cs="仿宋_GB2312"/>
          <w:bCs/>
          <w:color w:val="000000"/>
          <w:sz w:val="32"/>
          <w:szCs w:val="32"/>
          <w:lang w:eastAsia="zh-CN"/>
        </w:rPr>
        <w:t>提交甲方所在地</w:t>
      </w:r>
      <w:r>
        <w:rPr>
          <w:rFonts w:hint="eastAsia" w:ascii="仿宋_GB2312" w:hAnsi="仿宋_GB2312" w:eastAsia="仿宋_GB2312" w:cs="仿宋_GB2312"/>
          <w:bCs/>
          <w:color w:val="000000"/>
          <w:sz w:val="32"/>
          <w:szCs w:val="32"/>
          <w:lang w:val="en-US" w:eastAsia="zh-CN"/>
        </w:rPr>
        <w:t>人民法院</w:t>
      </w:r>
      <w:r>
        <w:rPr>
          <w:rFonts w:hint="eastAsia" w:ascii="仿宋_GB2312" w:hAnsi="仿宋_GB2312" w:eastAsia="仿宋_GB2312" w:cs="仿宋_GB2312"/>
          <w:bCs/>
          <w:color w:val="000000"/>
          <w:sz w:val="32"/>
          <w:szCs w:val="32"/>
        </w:rPr>
        <w:t>诉讼</w:t>
      </w:r>
      <w:r>
        <w:rPr>
          <w:rFonts w:hint="eastAsia" w:ascii="仿宋_GB2312" w:hAnsi="仿宋_GB2312" w:eastAsia="仿宋_GB2312" w:cs="仿宋_GB2312"/>
          <w:bCs/>
          <w:color w:val="000000"/>
          <w:sz w:val="32"/>
          <w:szCs w:val="32"/>
          <w:lang w:eastAsia="zh-CN"/>
        </w:rPr>
        <w:t>解决</w:t>
      </w:r>
      <w:r>
        <w:rPr>
          <w:rFonts w:hint="eastAsia" w:ascii="仿宋_GB2312" w:hAnsi="仿宋_GB2312" w:eastAsia="仿宋_GB2312" w:cs="仿宋_GB2312"/>
          <w:bCs/>
          <w:color w:val="000000"/>
          <w:sz w:val="32"/>
          <w:szCs w:val="32"/>
        </w:rPr>
        <w:t>。</w:t>
      </w:r>
    </w:p>
    <w:p>
      <w:pPr>
        <w:tabs>
          <w:tab w:val="left" w:pos="420"/>
        </w:tabs>
        <w:spacing w:line="360" w:lineRule="auto"/>
        <w:ind w:firstLine="643"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
          <w:color w:val="000000"/>
          <w:sz w:val="32"/>
          <w:szCs w:val="32"/>
        </w:rPr>
        <w:t>十一、合同生效</w:t>
      </w:r>
    </w:p>
    <w:p>
      <w:pPr>
        <w:tabs>
          <w:tab w:val="left" w:pos="420"/>
        </w:tabs>
        <w:spacing w:line="360" w:lineRule="auto"/>
        <w:ind w:firstLine="640" w:firstLineChars="200"/>
        <w:rPr>
          <w:rFonts w:hint="default" w:eastAsia="仿宋_GB2312" w:asciiTheme="minorEastAsia" w:hAnsiTheme="minorEastAsia" w:cstheme="minorEastAsia"/>
          <w:lang w:val="en-US" w:eastAsia="zh-CN"/>
        </w:rPr>
      </w:pPr>
      <w:r>
        <w:rPr>
          <w:rFonts w:hint="eastAsia" w:ascii="仿宋_GB2312" w:hAnsi="仿宋_GB2312" w:eastAsia="仿宋_GB2312" w:cs="仿宋_GB2312"/>
          <w:bCs/>
          <w:color w:val="000000"/>
          <w:sz w:val="32"/>
          <w:szCs w:val="32"/>
        </w:rPr>
        <w:t>本合同一式</w:t>
      </w:r>
      <w:r>
        <w:rPr>
          <w:rFonts w:hint="eastAsia" w:ascii="仿宋_GB2312" w:hAnsi="仿宋_GB2312" w:eastAsia="仿宋_GB2312" w:cs="仿宋_GB2312"/>
          <w:bCs/>
          <w:color w:val="000000"/>
          <w:sz w:val="32"/>
          <w:szCs w:val="32"/>
          <w:lang w:eastAsia="zh-CN"/>
        </w:rPr>
        <w:t>伍</w:t>
      </w:r>
      <w:r>
        <w:rPr>
          <w:rFonts w:hint="eastAsia" w:ascii="仿宋_GB2312" w:hAnsi="仿宋_GB2312" w:eastAsia="仿宋_GB2312" w:cs="仿宋_GB2312"/>
          <w:bCs/>
          <w:color w:val="000000"/>
          <w:sz w:val="32"/>
          <w:szCs w:val="32"/>
        </w:rPr>
        <w:t>份，甲方执</w:t>
      </w:r>
      <w:r>
        <w:rPr>
          <w:rFonts w:hint="eastAsia" w:ascii="仿宋_GB2312" w:hAnsi="仿宋_GB2312" w:eastAsia="仿宋_GB2312" w:cs="仿宋_GB2312"/>
          <w:bCs/>
          <w:color w:val="000000"/>
          <w:sz w:val="32"/>
          <w:szCs w:val="32"/>
          <w:lang w:eastAsia="zh-CN"/>
        </w:rPr>
        <w:t>叁</w:t>
      </w:r>
      <w:r>
        <w:rPr>
          <w:rFonts w:hint="eastAsia" w:ascii="仿宋_GB2312" w:hAnsi="仿宋_GB2312" w:eastAsia="仿宋_GB2312" w:cs="仿宋_GB2312"/>
          <w:bCs/>
          <w:color w:val="000000"/>
          <w:sz w:val="32"/>
          <w:szCs w:val="32"/>
        </w:rPr>
        <w:t>份、乙方执贰份，甲乙双方的法定代表人（单位负责人）或其授权代表在合同协议书上签字并加盖单位章后，合同生效</w:t>
      </w:r>
      <w:r>
        <w:rPr>
          <w:rFonts w:hint="eastAsia" w:ascii="仿宋_GB2312" w:hAnsi="仿宋_GB2312" w:eastAsia="仿宋_GB2312" w:cs="仿宋_GB2312"/>
          <w:bCs/>
          <w:color w:val="000000"/>
          <w:sz w:val="32"/>
          <w:szCs w:val="32"/>
          <w:lang w:eastAsia="zh-CN"/>
        </w:rPr>
        <w:t>。</w:t>
      </w:r>
      <w:bookmarkStart w:id="7" w:name="OLE_LINK6"/>
    </w:p>
    <w:bookmarkEnd w:id="7"/>
    <w:p>
      <w:pPr>
        <w:ind w:firstLine="643"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
          <w:color w:val="000000"/>
          <w:sz w:val="32"/>
          <w:szCs w:val="32"/>
        </w:rPr>
        <w:t>十二、通知与送达</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本合同有关的通知应当以书面方式提交，书面方式可以邮寄、挂号、传真、电子邮件等。</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双方在履约过程中的通知、函件（书面、电子函件）以及涉及诉讼后的法院传票、通知书等，一经发至下述地址或联系人均视为送达。</w:t>
      </w:r>
    </w:p>
    <w:p>
      <w:pPr>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甲方联系人：</w:t>
      </w:r>
      <w:r>
        <w:rPr>
          <w:rFonts w:hint="eastAsia" w:ascii="仿宋_GB2312" w:hAnsi="仿宋_GB2312" w:eastAsia="仿宋_GB2312" w:cs="仿宋_GB2312"/>
          <w:bCs/>
          <w:color w:val="000000"/>
          <w:sz w:val="32"/>
          <w:szCs w:val="32"/>
          <w:u w:val="single"/>
        </w:rPr>
        <w:t xml:space="preserve"> 周文君 </w:t>
      </w:r>
      <w:r>
        <w:rPr>
          <w:rFonts w:hint="eastAsia" w:ascii="仿宋_GB2312" w:hAnsi="仿宋_GB2312" w:eastAsia="仿宋_GB2312" w:cs="仿宋_GB2312"/>
          <w:bCs/>
          <w:color w:val="000000"/>
          <w:sz w:val="32"/>
          <w:szCs w:val="32"/>
        </w:rPr>
        <w:t>电话:</w:t>
      </w:r>
      <w:r>
        <w:rPr>
          <w:rFonts w:hint="eastAsia" w:ascii="仿宋_GB2312" w:hAnsi="仿宋_GB2312" w:eastAsia="仿宋_GB2312" w:cs="仿宋_GB2312"/>
          <w:bCs/>
          <w:color w:val="000000"/>
          <w:sz w:val="32"/>
          <w:szCs w:val="32"/>
          <w:u w:val="single"/>
        </w:rPr>
        <w:t xml:space="preserve"> 18283563320 </w:t>
      </w:r>
      <w:r>
        <w:rPr>
          <w:rFonts w:hint="eastAsia" w:ascii="仿宋_GB2312" w:hAnsi="仿宋_GB2312" w:eastAsia="仿宋_GB2312" w:cs="仿宋_GB2312"/>
          <w:bCs/>
          <w:color w:val="000000"/>
          <w:sz w:val="32"/>
          <w:szCs w:val="32"/>
        </w:rPr>
        <w:t>。收件地址：</w:t>
      </w:r>
      <w:r>
        <w:rPr>
          <w:rFonts w:hint="eastAsia" w:ascii="仿宋_GB2312" w:hAnsi="仿宋_GB2312" w:eastAsia="仿宋_GB2312" w:cs="仿宋_GB2312"/>
          <w:bCs/>
          <w:color w:val="000000"/>
          <w:sz w:val="32"/>
          <w:szCs w:val="32"/>
          <w:u w:val="single"/>
        </w:rPr>
        <w:t xml:space="preserve"> 雅安市雨城区和兴街1号  </w:t>
      </w:r>
      <w:r>
        <w:rPr>
          <w:rFonts w:hint="eastAsia" w:ascii="仿宋_GB2312" w:hAnsi="仿宋_GB2312" w:eastAsia="仿宋_GB2312" w:cs="仿宋_GB2312"/>
          <w:bCs/>
          <w:color w:val="000000"/>
          <w:sz w:val="32"/>
          <w:szCs w:val="32"/>
        </w:rPr>
        <w:t>。</w:t>
      </w:r>
    </w:p>
    <w:p>
      <w:pPr>
        <w:adjustRightInd w:val="0"/>
        <w:snapToGrid w:val="0"/>
        <w:spacing w:line="360" w:lineRule="auto"/>
        <w:ind w:firstLine="640" w:firstLineChars="200"/>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乙方联系人:</w:t>
      </w:r>
      <w:r>
        <w:rPr>
          <w:rFonts w:hint="eastAsia" w:ascii="仿宋_GB2312" w:hAnsi="仿宋_GB2312" w:eastAsia="仿宋_GB2312" w:cs="仿宋_GB2312"/>
          <w:bCs/>
          <w:color w:val="000000"/>
          <w:sz w:val="32"/>
          <w:szCs w:val="32"/>
          <w:u w:val="single"/>
        </w:rPr>
        <w:t xml:space="preserve"> </w:t>
      </w:r>
      <w:r>
        <w:rPr>
          <w:rFonts w:hint="eastAsia" w:ascii="仿宋_GB2312" w:hAnsi="仿宋_GB2312" w:eastAsia="仿宋_GB2312" w:cs="仿宋_GB2312"/>
          <w:bCs/>
          <w:color w:val="000000"/>
          <w:sz w:val="32"/>
          <w:szCs w:val="32"/>
          <w:u w:val="single"/>
          <w:lang w:val="en-US" w:eastAsia="zh-CN"/>
        </w:rPr>
        <w:t xml:space="preserve">   </w:t>
      </w:r>
      <w:r>
        <w:rPr>
          <w:rFonts w:hint="eastAsia" w:ascii="仿宋_GB2312" w:hAnsi="仿宋_GB2312" w:eastAsia="仿宋_GB2312" w:cs="仿宋_GB2312"/>
          <w:bCs/>
          <w:color w:val="000000"/>
          <w:sz w:val="32"/>
          <w:szCs w:val="32"/>
          <w:u w:val="single"/>
        </w:rPr>
        <w:t xml:space="preserve"> </w:t>
      </w:r>
      <w:r>
        <w:rPr>
          <w:rFonts w:hint="eastAsia" w:ascii="仿宋_GB2312" w:hAnsi="仿宋_GB2312" w:eastAsia="仿宋_GB2312" w:cs="仿宋_GB2312"/>
          <w:bCs/>
          <w:color w:val="000000"/>
          <w:sz w:val="32"/>
          <w:szCs w:val="32"/>
        </w:rPr>
        <w:t>电话:</w:t>
      </w:r>
      <w:r>
        <w:rPr>
          <w:rFonts w:hint="eastAsia" w:ascii="仿宋_GB2312" w:hAnsi="仿宋_GB2312" w:eastAsia="仿宋_GB2312" w:cs="仿宋_GB2312"/>
          <w:bCs/>
          <w:color w:val="000000"/>
          <w:sz w:val="32"/>
          <w:szCs w:val="32"/>
          <w:u w:val="single"/>
        </w:rPr>
        <w:t xml:space="preserve"> </w:t>
      </w:r>
      <w:r>
        <w:rPr>
          <w:rFonts w:hint="eastAsia" w:ascii="仿宋_GB2312" w:hAnsi="仿宋_GB2312" w:eastAsia="仿宋_GB2312" w:cs="仿宋_GB2312"/>
          <w:bCs/>
          <w:color w:val="000000"/>
          <w:sz w:val="32"/>
          <w:szCs w:val="32"/>
          <w:u w:val="single"/>
          <w:lang w:val="en-US" w:eastAsia="zh-CN"/>
        </w:rPr>
        <w:t xml:space="preserve">  </w:t>
      </w:r>
      <w:r>
        <w:rPr>
          <w:rFonts w:hint="eastAsia" w:ascii="仿宋_GB2312" w:hAnsi="仿宋_GB2312" w:eastAsia="仿宋_GB2312" w:cs="仿宋_GB2312"/>
          <w:bCs/>
          <w:color w:val="000000"/>
          <w:sz w:val="32"/>
          <w:szCs w:val="32"/>
          <w:u w:val="single"/>
        </w:rPr>
        <w:t xml:space="preserve"> </w:t>
      </w:r>
      <w:r>
        <w:rPr>
          <w:rFonts w:hint="eastAsia" w:ascii="仿宋_GB2312" w:hAnsi="仿宋_GB2312" w:eastAsia="仿宋_GB2312" w:cs="仿宋_GB2312"/>
          <w:bCs/>
          <w:color w:val="000000"/>
          <w:sz w:val="32"/>
          <w:szCs w:val="32"/>
        </w:rPr>
        <w:t>。收件地址：</w:t>
      </w:r>
      <w:r>
        <w:rPr>
          <w:rFonts w:hint="eastAsia" w:ascii="仿宋_GB2312" w:hAnsi="仿宋_GB2312" w:eastAsia="仿宋_GB2312" w:cs="仿宋_GB2312"/>
          <w:bCs/>
          <w:color w:val="000000"/>
          <w:sz w:val="32"/>
          <w:szCs w:val="32"/>
          <w:u w:val="single"/>
        </w:rPr>
        <w:t xml:space="preserve"> </w:t>
      </w:r>
      <w:r>
        <w:rPr>
          <w:rFonts w:hint="eastAsia" w:ascii="仿宋_GB2312" w:hAnsi="仿宋_GB2312" w:eastAsia="仿宋_GB2312" w:cs="仿宋_GB2312"/>
          <w:bCs/>
          <w:color w:val="000000"/>
          <w:sz w:val="32"/>
          <w:szCs w:val="32"/>
          <w:u w:val="single"/>
          <w:lang w:val="en-US" w:eastAsia="zh-CN"/>
        </w:rPr>
        <w:t xml:space="preserve">   </w:t>
      </w:r>
      <w:r>
        <w:rPr>
          <w:rFonts w:hint="eastAsia" w:ascii="仿宋_GB2312" w:hAnsi="仿宋_GB2312" w:eastAsia="仿宋_GB2312" w:cs="仿宋_GB2312"/>
          <w:bCs/>
          <w:color w:val="000000"/>
          <w:sz w:val="32"/>
          <w:szCs w:val="32"/>
          <w:u w:val="single"/>
        </w:rPr>
        <w:t xml:space="preserve"> </w:t>
      </w:r>
      <w:r>
        <w:rPr>
          <w:rFonts w:hint="eastAsia" w:ascii="仿宋_GB2312" w:hAnsi="仿宋_GB2312" w:eastAsia="仿宋_GB2312" w:cs="仿宋_GB2312"/>
          <w:bCs/>
          <w:color w:val="000000"/>
          <w:sz w:val="32"/>
          <w:szCs w:val="32"/>
        </w:rPr>
        <w:t>。</w:t>
      </w:r>
    </w:p>
    <w:p>
      <w:pPr>
        <w:adjustRightInd w:val="0"/>
        <w:snapToGrid w:val="0"/>
        <w:spacing w:line="360" w:lineRule="auto"/>
        <w:ind w:firstLine="640" w:firstLineChars="200"/>
        <w:jc w:val="left"/>
        <w:rPr>
          <w:rFonts w:hint="eastAsia" w:ascii="仿宋_GB2312" w:hAnsi="仿宋_GB2312" w:eastAsia="仿宋_GB2312" w:cs="仿宋_GB2312"/>
          <w:b/>
          <w:color w:val="000000"/>
          <w:sz w:val="32"/>
          <w:szCs w:val="32"/>
          <w:lang w:val="en-US" w:eastAsia="zh-CN"/>
        </w:rPr>
      </w:pPr>
      <w:r>
        <w:rPr>
          <w:rFonts w:hint="eastAsia" w:ascii="仿宋_GB2312" w:hAnsi="仿宋_GB2312" w:eastAsia="仿宋_GB2312" w:cs="仿宋_GB2312"/>
          <w:bCs/>
          <w:color w:val="000000"/>
          <w:sz w:val="32"/>
          <w:szCs w:val="32"/>
        </w:rPr>
        <w:t>以上所列信息为双方确认的通知与送达地址，一方通讯地址或联系方式发生变化，应予3日内通知对方，否则对此造成的影响和损失承担责任。</w:t>
      </w:r>
    </w:p>
    <w:p>
      <w:pPr>
        <w:ind w:firstLine="643" w:firstLineChars="200"/>
        <w:rPr>
          <w:rFonts w:hint="default" w:ascii="仿宋_GB2312" w:hAnsi="仿宋_GB2312" w:eastAsia="仿宋_GB2312" w:cs="仿宋_GB2312"/>
          <w:b/>
          <w:color w:val="000000"/>
          <w:sz w:val="32"/>
          <w:szCs w:val="32"/>
          <w:lang w:val="en-US" w:eastAsia="zh-CN"/>
        </w:rPr>
      </w:pPr>
      <w:r>
        <w:rPr>
          <w:rFonts w:hint="eastAsia" w:ascii="仿宋_GB2312" w:hAnsi="仿宋_GB2312" w:eastAsia="仿宋_GB2312" w:cs="仿宋_GB2312"/>
          <w:b/>
          <w:color w:val="000000"/>
          <w:sz w:val="32"/>
          <w:szCs w:val="32"/>
          <w:lang w:val="en-US" w:eastAsia="zh-CN"/>
        </w:rPr>
        <w:t>十三、其他条款</w:t>
      </w:r>
    </w:p>
    <w:p>
      <w:pPr>
        <w:ind w:firstLine="640" w:firstLineChars="200"/>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附件：</w:t>
      </w:r>
      <w:r>
        <w:rPr>
          <w:rFonts w:hint="eastAsia" w:ascii="仿宋_GB2312" w:hAnsi="仿宋_GB2312" w:eastAsia="仿宋_GB2312" w:cs="仿宋_GB2312"/>
          <w:bCs/>
          <w:color w:val="000000"/>
          <w:sz w:val="32"/>
          <w:szCs w:val="32"/>
          <w:lang w:eastAsia="zh-CN"/>
        </w:rPr>
        <w:t>价格</w:t>
      </w:r>
      <w:r>
        <w:rPr>
          <w:rFonts w:hint="eastAsia" w:ascii="仿宋_GB2312" w:hAnsi="仿宋_GB2312" w:eastAsia="仿宋_GB2312" w:cs="仿宋_GB2312"/>
          <w:bCs/>
          <w:color w:val="000000"/>
          <w:sz w:val="32"/>
          <w:szCs w:val="32"/>
        </w:rPr>
        <w:t>表</w:t>
      </w:r>
    </w:p>
    <w:p>
      <w:pPr>
        <w:rPr>
          <w:rFonts w:hint="default"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000000"/>
          <w:sz w:val="32"/>
          <w:szCs w:val="32"/>
          <w:lang w:val="en-US" w:eastAsia="zh-CN"/>
        </w:rPr>
        <w:t>纪检监察举报电话：0835-2625910</w:t>
      </w:r>
    </w:p>
    <w:p>
      <w:pPr>
        <w:rPr>
          <w:rFonts w:hint="default"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000000"/>
          <w:sz w:val="32"/>
          <w:szCs w:val="32"/>
          <w:lang w:eastAsia="zh-CN"/>
        </w:rPr>
        <w:t>举报邮箱：</w:t>
      </w:r>
      <w:r>
        <w:rPr>
          <w:rFonts w:hint="eastAsia" w:ascii="仿宋_GB2312" w:hAnsi="仿宋_GB2312" w:eastAsia="仿宋_GB2312" w:cs="仿宋_GB2312"/>
          <w:bCs/>
          <w:color w:val="000000"/>
          <w:sz w:val="32"/>
          <w:szCs w:val="32"/>
          <w:lang w:val="en-US" w:eastAsia="zh-CN"/>
        </w:rPr>
        <w:t>1574782507@qq.com</w:t>
      </w:r>
    </w:p>
    <w:p>
      <w:pPr>
        <w:pStyle w:val="13"/>
        <w:numPr>
          <w:ilvl w:val="4"/>
          <w:numId w:val="0"/>
        </w:numPr>
        <w:rPr>
          <w:rFonts w:hint="eastAsia" w:ascii="仿宋_GB2312" w:hAnsi="仿宋_GB2312" w:eastAsia="仿宋_GB2312" w:cs="仿宋_GB2312"/>
          <w:bCs/>
          <w:color w:val="000000"/>
          <w:sz w:val="32"/>
          <w:szCs w:val="32"/>
        </w:rPr>
      </w:pPr>
    </w:p>
    <w:p>
      <w:pPr>
        <w:pStyle w:val="13"/>
        <w:numPr>
          <w:ilvl w:val="4"/>
          <w:numId w:val="0"/>
        </w:numPr>
      </w:pPr>
      <w:r>
        <w:rPr>
          <w:rFonts w:hint="eastAsia" w:ascii="仿宋_GB2312" w:hAnsi="仿宋_GB2312" w:eastAsia="仿宋_GB2312" w:cs="仿宋_GB2312"/>
          <w:bCs/>
          <w:color w:val="000000"/>
          <w:sz w:val="32"/>
          <w:szCs w:val="32"/>
        </w:rPr>
        <w:t>以下为签署页，无正文：</w:t>
      </w:r>
    </w:p>
    <w:tbl>
      <w:tblPr>
        <w:tblStyle w:val="11"/>
        <w:tblW w:w="8379" w:type="dxa"/>
        <w:tblInd w:w="0" w:type="dxa"/>
        <w:tblLayout w:type="fixed"/>
        <w:tblCellMar>
          <w:top w:w="15" w:type="dxa"/>
          <w:left w:w="15" w:type="dxa"/>
          <w:bottom w:w="15" w:type="dxa"/>
          <w:right w:w="15" w:type="dxa"/>
        </w:tblCellMar>
      </w:tblPr>
      <w:tblGrid>
        <w:gridCol w:w="3996"/>
        <w:gridCol w:w="4383"/>
      </w:tblGrid>
      <w:tr>
        <w:tblPrEx>
          <w:tblCellMar>
            <w:top w:w="15" w:type="dxa"/>
            <w:left w:w="15" w:type="dxa"/>
            <w:bottom w:w="15" w:type="dxa"/>
            <w:right w:w="15" w:type="dxa"/>
          </w:tblCellMar>
        </w:tblPrEx>
        <w:trPr>
          <w:trHeight w:val="2175" w:hRule="atLeast"/>
        </w:trPr>
        <w:tc>
          <w:tcPr>
            <w:tcW w:w="3996"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 xml:space="preserve">购货方（甲方）：（盖章）       </w:t>
            </w:r>
          </w:p>
        </w:tc>
        <w:tc>
          <w:tcPr>
            <w:tcW w:w="438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 xml:space="preserve">供货方（乙方）：（盖章） </w:t>
            </w:r>
          </w:p>
        </w:tc>
      </w:tr>
      <w:tr>
        <w:tblPrEx>
          <w:tblCellMar>
            <w:top w:w="15" w:type="dxa"/>
            <w:left w:w="15" w:type="dxa"/>
            <w:bottom w:w="15" w:type="dxa"/>
            <w:right w:w="15" w:type="dxa"/>
          </w:tblCellMar>
        </w:tblPrEx>
        <w:trPr>
          <w:trHeight w:val="707" w:hRule="atLeast"/>
        </w:trPr>
        <w:tc>
          <w:tcPr>
            <w:tcW w:w="3996"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法定代表人（</w:t>
            </w:r>
            <w:r>
              <w:rPr>
                <w:rFonts w:hint="eastAsia" w:ascii="仿宋" w:hAnsi="仿宋" w:eastAsia="仿宋" w:cs="仿宋"/>
                <w:color w:val="000000"/>
                <w:kern w:val="0"/>
                <w:sz w:val="28"/>
                <w:szCs w:val="28"/>
                <w:lang w:eastAsia="zh-CN" w:bidi="ar"/>
              </w:rPr>
              <w:t>签字或盖章</w:t>
            </w:r>
            <w:r>
              <w:rPr>
                <w:rFonts w:hint="eastAsia" w:ascii="仿宋" w:hAnsi="仿宋" w:eastAsia="仿宋" w:cs="仿宋"/>
                <w:color w:val="000000"/>
                <w:kern w:val="0"/>
                <w:sz w:val="28"/>
                <w:szCs w:val="28"/>
                <w:lang w:bidi="ar"/>
              </w:rPr>
              <w:t xml:space="preserve">）：                  </w:t>
            </w:r>
          </w:p>
        </w:tc>
        <w:tc>
          <w:tcPr>
            <w:tcW w:w="438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法定代表人（</w:t>
            </w:r>
            <w:r>
              <w:rPr>
                <w:rFonts w:hint="eastAsia" w:ascii="仿宋" w:hAnsi="仿宋" w:eastAsia="仿宋" w:cs="仿宋"/>
                <w:color w:val="000000"/>
                <w:kern w:val="0"/>
                <w:sz w:val="28"/>
                <w:szCs w:val="28"/>
                <w:lang w:eastAsia="zh-CN" w:bidi="ar"/>
              </w:rPr>
              <w:t>签字或盖章</w:t>
            </w:r>
            <w:r>
              <w:rPr>
                <w:rFonts w:hint="eastAsia" w:ascii="仿宋" w:hAnsi="仿宋" w:eastAsia="仿宋" w:cs="仿宋"/>
                <w:color w:val="000000"/>
                <w:kern w:val="0"/>
                <w:sz w:val="28"/>
                <w:szCs w:val="28"/>
                <w:lang w:bidi="ar"/>
              </w:rPr>
              <w:t xml:space="preserve">）：                  </w:t>
            </w:r>
          </w:p>
        </w:tc>
      </w:tr>
      <w:tr>
        <w:tblPrEx>
          <w:tblCellMar>
            <w:top w:w="15" w:type="dxa"/>
            <w:left w:w="15" w:type="dxa"/>
            <w:bottom w:w="15" w:type="dxa"/>
            <w:right w:w="15" w:type="dxa"/>
          </w:tblCellMar>
        </w:tblPrEx>
        <w:trPr>
          <w:trHeight w:val="453" w:hRule="atLeast"/>
        </w:trPr>
        <w:tc>
          <w:tcPr>
            <w:tcW w:w="3996" w:type="dxa"/>
            <w:tcBorders>
              <w:top w:val="single" w:color="000000" w:sz="4" w:space="0"/>
              <w:left w:val="single" w:color="000000" w:sz="4" w:space="0"/>
              <w:bottom w:val="single" w:color="000000" w:sz="4" w:space="0"/>
              <w:right w:val="single" w:color="000000" w:sz="4" w:space="0"/>
            </w:tcBorders>
          </w:tcPr>
          <w:p>
            <w:pPr>
              <w:widowControl/>
              <w:textAlignment w:val="center"/>
              <w:rPr>
                <w:rFonts w:hint="default"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电话：0835-2622823</w:t>
            </w:r>
          </w:p>
        </w:tc>
        <w:tc>
          <w:tcPr>
            <w:tcW w:w="4383" w:type="dxa"/>
            <w:tcBorders>
              <w:top w:val="single" w:color="000000" w:sz="4" w:space="0"/>
              <w:left w:val="single" w:color="000000" w:sz="4" w:space="0"/>
              <w:bottom w:val="single" w:color="000000" w:sz="4" w:space="0"/>
              <w:right w:val="single" w:color="000000" w:sz="4" w:space="0"/>
            </w:tcBorders>
          </w:tcPr>
          <w:p>
            <w:pPr>
              <w:widowControl/>
              <w:textAlignment w:val="center"/>
              <w:rPr>
                <w:rFonts w:hint="default"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电话：</w:t>
            </w:r>
          </w:p>
        </w:tc>
      </w:tr>
      <w:tr>
        <w:tblPrEx>
          <w:tblCellMar>
            <w:top w:w="15" w:type="dxa"/>
            <w:left w:w="15" w:type="dxa"/>
            <w:bottom w:w="15" w:type="dxa"/>
            <w:right w:w="15" w:type="dxa"/>
          </w:tblCellMar>
        </w:tblPrEx>
        <w:trPr>
          <w:trHeight w:val="453" w:hRule="atLeast"/>
        </w:trPr>
        <w:tc>
          <w:tcPr>
            <w:tcW w:w="3996" w:type="dxa"/>
            <w:tcBorders>
              <w:top w:val="single" w:color="000000" w:sz="4" w:space="0"/>
              <w:left w:val="single" w:color="000000" w:sz="4" w:space="0"/>
              <w:bottom w:val="single" w:color="000000" w:sz="4" w:space="0"/>
              <w:right w:val="single" w:color="000000" w:sz="4" w:space="0"/>
            </w:tcBorders>
            <w:vAlign w:val="top"/>
          </w:tcPr>
          <w:p>
            <w:pPr>
              <w:widowControl/>
              <w:textAlignment w:val="center"/>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地址：</w:t>
            </w:r>
            <w:r>
              <w:rPr>
                <w:rFonts w:hint="eastAsia" w:ascii="仿宋" w:hAnsi="仿宋" w:eastAsia="仿宋" w:cs="仿宋"/>
                <w:color w:val="000000"/>
                <w:kern w:val="0"/>
                <w:sz w:val="28"/>
                <w:szCs w:val="28"/>
                <w:lang w:val="en-US" w:eastAsia="zh-CN" w:bidi="ar"/>
              </w:rPr>
              <w:t>雅安市雨城区和兴街1号</w:t>
            </w:r>
          </w:p>
        </w:tc>
        <w:tc>
          <w:tcPr>
            <w:tcW w:w="4383" w:type="dxa"/>
            <w:tcBorders>
              <w:top w:val="single" w:color="000000" w:sz="4" w:space="0"/>
              <w:left w:val="single" w:color="000000" w:sz="4" w:space="0"/>
              <w:bottom w:val="single" w:color="000000" w:sz="4" w:space="0"/>
              <w:right w:val="single" w:color="000000" w:sz="4" w:space="0"/>
            </w:tcBorders>
            <w:vAlign w:val="top"/>
          </w:tcPr>
          <w:p>
            <w:pPr>
              <w:widowControl/>
              <w:textAlignment w:val="center"/>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地址：</w:t>
            </w:r>
          </w:p>
        </w:tc>
      </w:tr>
      <w:tr>
        <w:tblPrEx>
          <w:tblCellMar>
            <w:top w:w="15" w:type="dxa"/>
            <w:left w:w="15" w:type="dxa"/>
            <w:bottom w:w="15" w:type="dxa"/>
            <w:right w:w="15" w:type="dxa"/>
          </w:tblCellMar>
        </w:tblPrEx>
        <w:trPr>
          <w:trHeight w:val="462" w:hRule="atLeast"/>
        </w:trPr>
        <w:tc>
          <w:tcPr>
            <w:tcW w:w="3996" w:type="dxa"/>
            <w:tcBorders>
              <w:top w:val="single" w:color="000000" w:sz="4" w:space="0"/>
              <w:left w:val="single" w:color="000000" w:sz="4" w:space="0"/>
              <w:bottom w:val="single" w:color="000000" w:sz="4" w:space="0"/>
              <w:right w:val="single" w:color="000000" w:sz="4" w:space="0"/>
            </w:tcBorders>
          </w:tcPr>
          <w:p>
            <w:pPr>
              <w:widowControl/>
              <w:textAlignment w:val="center"/>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 xml:space="preserve">开户行：四川银行雅安分行 </w:t>
            </w:r>
          </w:p>
          <w:p>
            <w:pPr>
              <w:widowControl/>
              <w:textAlignment w:val="center"/>
              <w:rPr>
                <w:rFonts w:hint="eastAsia" w:ascii="仿宋" w:hAnsi="仿宋" w:eastAsia="仿宋" w:cs="仿宋"/>
                <w:color w:val="000000"/>
                <w:kern w:val="0"/>
                <w:sz w:val="28"/>
                <w:szCs w:val="28"/>
                <w:lang w:bidi="ar"/>
              </w:rPr>
            </w:pPr>
          </w:p>
        </w:tc>
        <w:tc>
          <w:tcPr>
            <w:tcW w:w="4383" w:type="dxa"/>
            <w:tcBorders>
              <w:top w:val="single" w:color="000000" w:sz="4" w:space="0"/>
              <w:left w:val="single" w:color="000000" w:sz="4" w:space="0"/>
              <w:bottom w:val="single" w:color="000000" w:sz="4" w:space="0"/>
              <w:right w:val="single" w:color="000000" w:sz="4" w:space="0"/>
            </w:tcBorders>
          </w:tcPr>
          <w:p>
            <w:pPr>
              <w:widowControl/>
              <w:textAlignment w:val="center"/>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开户行：</w:t>
            </w:r>
          </w:p>
        </w:tc>
      </w:tr>
      <w:tr>
        <w:tblPrEx>
          <w:tblCellMar>
            <w:top w:w="15" w:type="dxa"/>
            <w:left w:w="15" w:type="dxa"/>
            <w:bottom w:w="15" w:type="dxa"/>
            <w:right w:w="15" w:type="dxa"/>
          </w:tblCellMar>
        </w:tblPrEx>
        <w:trPr>
          <w:trHeight w:val="462" w:hRule="atLeast"/>
        </w:trPr>
        <w:tc>
          <w:tcPr>
            <w:tcW w:w="3996" w:type="dxa"/>
            <w:tcBorders>
              <w:top w:val="single" w:color="000000" w:sz="4" w:space="0"/>
              <w:left w:val="single" w:color="000000" w:sz="4" w:space="0"/>
              <w:bottom w:val="single" w:color="000000" w:sz="4" w:space="0"/>
              <w:right w:val="single" w:color="000000" w:sz="4" w:space="0"/>
            </w:tcBorders>
          </w:tcPr>
          <w:p>
            <w:pPr>
              <w:widowControl/>
              <w:textAlignment w:val="center"/>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银行账户：73220100017079361</w:t>
            </w:r>
          </w:p>
        </w:tc>
        <w:tc>
          <w:tcPr>
            <w:tcW w:w="4383" w:type="dxa"/>
            <w:tcBorders>
              <w:top w:val="single" w:color="000000" w:sz="4" w:space="0"/>
              <w:left w:val="single" w:color="000000" w:sz="4" w:space="0"/>
              <w:bottom w:val="single" w:color="000000" w:sz="4" w:space="0"/>
              <w:right w:val="single" w:color="000000" w:sz="4" w:space="0"/>
            </w:tcBorders>
          </w:tcPr>
          <w:p>
            <w:pPr>
              <w:widowControl/>
              <w:textAlignment w:val="center"/>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银行账户：</w:t>
            </w:r>
          </w:p>
        </w:tc>
      </w:tr>
      <w:tr>
        <w:tblPrEx>
          <w:tblCellMar>
            <w:top w:w="15" w:type="dxa"/>
            <w:left w:w="15" w:type="dxa"/>
            <w:bottom w:w="15" w:type="dxa"/>
            <w:right w:w="15" w:type="dxa"/>
          </w:tblCellMar>
        </w:tblPrEx>
        <w:trPr>
          <w:trHeight w:val="462" w:hRule="atLeast"/>
        </w:trPr>
        <w:tc>
          <w:tcPr>
            <w:tcW w:w="3996" w:type="dxa"/>
            <w:tcBorders>
              <w:top w:val="single" w:color="000000" w:sz="4" w:space="0"/>
              <w:left w:val="single" w:color="000000" w:sz="4" w:space="0"/>
              <w:bottom w:val="single" w:color="000000" w:sz="4" w:space="0"/>
              <w:right w:val="single" w:color="000000" w:sz="4" w:space="0"/>
            </w:tcBorders>
          </w:tcPr>
          <w:p>
            <w:pPr>
              <w:widowControl/>
              <w:textAlignment w:val="center"/>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纳税登记号：91511800MA62C33Q58</w:t>
            </w:r>
          </w:p>
        </w:tc>
        <w:tc>
          <w:tcPr>
            <w:tcW w:w="4383" w:type="dxa"/>
            <w:tcBorders>
              <w:top w:val="single" w:color="000000" w:sz="4" w:space="0"/>
              <w:left w:val="single" w:color="000000" w:sz="4" w:space="0"/>
              <w:bottom w:val="single" w:color="000000" w:sz="4" w:space="0"/>
              <w:right w:val="single" w:color="000000" w:sz="4" w:space="0"/>
            </w:tcBorders>
          </w:tcPr>
          <w:p>
            <w:pPr>
              <w:widowControl/>
              <w:textAlignment w:val="center"/>
              <w:rPr>
                <w:rFonts w:hint="default"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bidi="ar"/>
              </w:rPr>
              <w:t>纳税登记号：</w:t>
            </w:r>
          </w:p>
        </w:tc>
      </w:tr>
      <w:tr>
        <w:tblPrEx>
          <w:tblCellMar>
            <w:top w:w="15" w:type="dxa"/>
            <w:left w:w="15" w:type="dxa"/>
            <w:bottom w:w="15" w:type="dxa"/>
            <w:right w:w="15" w:type="dxa"/>
          </w:tblCellMar>
        </w:tblPrEx>
        <w:trPr>
          <w:trHeight w:val="481" w:hRule="atLeast"/>
        </w:trPr>
        <w:tc>
          <w:tcPr>
            <w:tcW w:w="3996"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 xml:space="preserve">签约日期：     年    月    日          </w:t>
            </w:r>
          </w:p>
        </w:tc>
        <w:tc>
          <w:tcPr>
            <w:tcW w:w="438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 xml:space="preserve">签约日期：     年    月    日          </w:t>
            </w:r>
          </w:p>
        </w:tc>
      </w:tr>
    </w:tbl>
    <w:p>
      <w:pPr>
        <w:adjustRightInd w:val="0"/>
        <w:snapToGrid w:val="0"/>
        <w:spacing w:line="360" w:lineRule="auto"/>
        <w:jc w:val="left"/>
        <w:rPr>
          <w:rFonts w:ascii="仿宋_GB2312" w:hAnsi="仿宋_GB2312" w:eastAsia="仿宋_GB2312" w:cs="仿宋_GB2312"/>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44AA91"/>
    <w:multiLevelType w:val="singleLevel"/>
    <w:tmpl w:val="2544AA91"/>
    <w:lvl w:ilvl="0" w:tentative="0">
      <w:start w:val="1"/>
      <w:numFmt w:val="chineseCounting"/>
      <w:suff w:val="nothing"/>
      <w:lvlText w:val="%1、"/>
      <w:lvlJc w:val="left"/>
      <w:rPr>
        <w:rFonts w:hint="eastAsia"/>
      </w:rPr>
    </w:lvl>
  </w:abstractNum>
  <w:abstractNum w:abstractNumId="1">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13"/>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revisionView w:markup="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xYWFmNjFlYWRjYjg0M2U2ZDdmMGRhNWJmOTdjZWQifQ=="/>
  </w:docVars>
  <w:rsids>
    <w:rsidRoot w:val="74E70E21"/>
    <w:rsid w:val="00026D98"/>
    <w:rsid w:val="00077D92"/>
    <w:rsid w:val="000B507B"/>
    <w:rsid w:val="0010754C"/>
    <w:rsid w:val="0011215E"/>
    <w:rsid w:val="0015798F"/>
    <w:rsid w:val="001715A8"/>
    <w:rsid w:val="00174CE7"/>
    <w:rsid w:val="00183A2C"/>
    <w:rsid w:val="001857D7"/>
    <w:rsid w:val="00185D5D"/>
    <w:rsid w:val="001B1799"/>
    <w:rsid w:val="001C0CA9"/>
    <w:rsid w:val="001E1D0D"/>
    <w:rsid w:val="001E5F03"/>
    <w:rsid w:val="001F3470"/>
    <w:rsid w:val="001F763A"/>
    <w:rsid w:val="0022039B"/>
    <w:rsid w:val="0026212B"/>
    <w:rsid w:val="00263EB8"/>
    <w:rsid w:val="0027748F"/>
    <w:rsid w:val="002A4471"/>
    <w:rsid w:val="002B0383"/>
    <w:rsid w:val="002B4B5F"/>
    <w:rsid w:val="003034F3"/>
    <w:rsid w:val="00322B23"/>
    <w:rsid w:val="003330A6"/>
    <w:rsid w:val="0034705C"/>
    <w:rsid w:val="00352C4A"/>
    <w:rsid w:val="003B676F"/>
    <w:rsid w:val="003C685C"/>
    <w:rsid w:val="003E0BC5"/>
    <w:rsid w:val="003F4D88"/>
    <w:rsid w:val="00431DC2"/>
    <w:rsid w:val="0044047B"/>
    <w:rsid w:val="004477B9"/>
    <w:rsid w:val="0046054B"/>
    <w:rsid w:val="00466730"/>
    <w:rsid w:val="00496C13"/>
    <w:rsid w:val="004A1245"/>
    <w:rsid w:val="004B35AF"/>
    <w:rsid w:val="004E61ED"/>
    <w:rsid w:val="004E6CF2"/>
    <w:rsid w:val="0050332F"/>
    <w:rsid w:val="00503374"/>
    <w:rsid w:val="00511D0D"/>
    <w:rsid w:val="00517BAB"/>
    <w:rsid w:val="00581C63"/>
    <w:rsid w:val="005C39B5"/>
    <w:rsid w:val="006272B5"/>
    <w:rsid w:val="00647ABD"/>
    <w:rsid w:val="006532C1"/>
    <w:rsid w:val="00657D87"/>
    <w:rsid w:val="0067070E"/>
    <w:rsid w:val="00670AE4"/>
    <w:rsid w:val="0067354A"/>
    <w:rsid w:val="00692605"/>
    <w:rsid w:val="006936FC"/>
    <w:rsid w:val="006D2748"/>
    <w:rsid w:val="006D4F47"/>
    <w:rsid w:val="00721302"/>
    <w:rsid w:val="0079056B"/>
    <w:rsid w:val="007A1080"/>
    <w:rsid w:val="007D20DB"/>
    <w:rsid w:val="007D55C2"/>
    <w:rsid w:val="0080658B"/>
    <w:rsid w:val="00824017"/>
    <w:rsid w:val="00843B3E"/>
    <w:rsid w:val="008B42BF"/>
    <w:rsid w:val="008C6810"/>
    <w:rsid w:val="008D3D11"/>
    <w:rsid w:val="0091485E"/>
    <w:rsid w:val="009159AF"/>
    <w:rsid w:val="0093774D"/>
    <w:rsid w:val="009428F8"/>
    <w:rsid w:val="00944728"/>
    <w:rsid w:val="00953019"/>
    <w:rsid w:val="00956627"/>
    <w:rsid w:val="00960F5A"/>
    <w:rsid w:val="00973126"/>
    <w:rsid w:val="009A4C8F"/>
    <w:rsid w:val="009C514F"/>
    <w:rsid w:val="009D40B6"/>
    <w:rsid w:val="009E55B9"/>
    <w:rsid w:val="009F6D61"/>
    <w:rsid w:val="00A22912"/>
    <w:rsid w:val="00A2317E"/>
    <w:rsid w:val="00A42607"/>
    <w:rsid w:val="00A5355F"/>
    <w:rsid w:val="00A64A32"/>
    <w:rsid w:val="00A96F90"/>
    <w:rsid w:val="00BB2890"/>
    <w:rsid w:val="00BC5055"/>
    <w:rsid w:val="00BC6A4E"/>
    <w:rsid w:val="00BD0E1A"/>
    <w:rsid w:val="00BE71D1"/>
    <w:rsid w:val="00BF7DA9"/>
    <w:rsid w:val="00C049C7"/>
    <w:rsid w:val="00C24CD1"/>
    <w:rsid w:val="00C3642C"/>
    <w:rsid w:val="00C950A6"/>
    <w:rsid w:val="00CC05B4"/>
    <w:rsid w:val="00CD20A6"/>
    <w:rsid w:val="00CD6385"/>
    <w:rsid w:val="00D31A3E"/>
    <w:rsid w:val="00D857B5"/>
    <w:rsid w:val="00DA010E"/>
    <w:rsid w:val="00DB5A61"/>
    <w:rsid w:val="00DE78D6"/>
    <w:rsid w:val="00DF5022"/>
    <w:rsid w:val="00E16665"/>
    <w:rsid w:val="00E649FF"/>
    <w:rsid w:val="00E745B0"/>
    <w:rsid w:val="00E74A0D"/>
    <w:rsid w:val="00E7505D"/>
    <w:rsid w:val="00EA28CE"/>
    <w:rsid w:val="00EB6AF2"/>
    <w:rsid w:val="00EC0245"/>
    <w:rsid w:val="00ED702E"/>
    <w:rsid w:val="00EE1711"/>
    <w:rsid w:val="00EF0554"/>
    <w:rsid w:val="00F0205C"/>
    <w:rsid w:val="00F07F25"/>
    <w:rsid w:val="00F25044"/>
    <w:rsid w:val="00F361CF"/>
    <w:rsid w:val="00F45181"/>
    <w:rsid w:val="00F56600"/>
    <w:rsid w:val="00F65341"/>
    <w:rsid w:val="00F7054B"/>
    <w:rsid w:val="00F966AD"/>
    <w:rsid w:val="00FA1B53"/>
    <w:rsid w:val="00FA2EDF"/>
    <w:rsid w:val="00FA5036"/>
    <w:rsid w:val="00FB4F29"/>
    <w:rsid w:val="00FF679A"/>
    <w:rsid w:val="01160F7F"/>
    <w:rsid w:val="014659B5"/>
    <w:rsid w:val="01745FAB"/>
    <w:rsid w:val="02463703"/>
    <w:rsid w:val="02793843"/>
    <w:rsid w:val="02EB0421"/>
    <w:rsid w:val="03215241"/>
    <w:rsid w:val="044E50F6"/>
    <w:rsid w:val="048E637B"/>
    <w:rsid w:val="04945B85"/>
    <w:rsid w:val="05525DCB"/>
    <w:rsid w:val="056B4082"/>
    <w:rsid w:val="06254599"/>
    <w:rsid w:val="06426869"/>
    <w:rsid w:val="06A1169C"/>
    <w:rsid w:val="072C1CB5"/>
    <w:rsid w:val="08056235"/>
    <w:rsid w:val="091311A0"/>
    <w:rsid w:val="095A5F0C"/>
    <w:rsid w:val="099E4E9A"/>
    <w:rsid w:val="0A610890"/>
    <w:rsid w:val="0A6A01C5"/>
    <w:rsid w:val="0A6F4AE2"/>
    <w:rsid w:val="0AB76673"/>
    <w:rsid w:val="0AEA434D"/>
    <w:rsid w:val="0B5F5342"/>
    <w:rsid w:val="0B740F98"/>
    <w:rsid w:val="0B826133"/>
    <w:rsid w:val="0C430424"/>
    <w:rsid w:val="0C5D7F49"/>
    <w:rsid w:val="0CF15292"/>
    <w:rsid w:val="0D6C4152"/>
    <w:rsid w:val="0DBB032C"/>
    <w:rsid w:val="0DD25C33"/>
    <w:rsid w:val="0DF64311"/>
    <w:rsid w:val="0E0F7CD6"/>
    <w:rsid w:val="0EBE2FF1"/>
    <w:rsid w:val="0F2B57DC"/>
    <w:rsid w:val="0F2B7C9E"/>
    <w:rsid w:val="0F696BFC"/>
    <w:rsid w:val="0F815265"/>
    <w:rsid w:val="1002465E"/>
    <w:rsid w:val="105A3935"/>
    <w:rsid w:val="10CE5082"/>
    <w:rsid w:val="10F8431E"/>
    <w:rsid w:val="110965A4"/>
    <w:rsid w:val="110F1170"/>
    <w:rsid w:val="113707C0"/>
    <w:rsid w:val="1196119C"/>
    <w:rsid w:val="11AB1F1F"/>
    <w:rsid w:val="11CC3EDE"/>
    <w:rsid w:val="123447A0"/>
    <w:rsid w:val="1275374C"/>
    <w:rsid w:val="12AF5D95"/>
    <w:rsid w:val="130A2BDB"/>
    <w:rsid w:val="130B5E18"/>
    <w:rsid w:val="13FB1306"/>
    <w:rsid w:val="147D5BDC"/>
    <w:rsid w:val="14C50CD7"/>
    <w:rsid w:val="15260793"/>
    <w:rsid w:val="154F4016"/>
    <w:rsid w:val="15804932"/>
    <w:rsid w:val="15985609"/>
    <w:rsid w:val="16756051"/>
    <w:rsid w:val="1697144F"/>
    <w:rsid w:val="16AA146D"/>
    <w:rsid w:val="16AB5778"/>
    <w:rsid w:val="16B74615"/>
    <w:rsid w:val="175657C5"/>
    <w:rsid w:val="17822B13"/>
    <w:rsid w:val="1797395E"/>
    <w:rsid w:val="183E055A"/>
    <w:rsid w:val="19010E18"/>
    <w:rsid w:val="19120560"/>
    <w:rsid w:val="1923329A"/>
    <w:rsid w:val="19361B52"/>
    <w:rsid w:val="196B69DB"/>
    <w:rsid w:val="19CA6BA0"/>
    <w:rsid w:val="1A3D2EA3"/>
    <w:rsid w:val="1AF30273"/>
    <w:rsid w:val="1B0F3E4D"/>
    <w:rsid w:val="1BAF5F05"/>
    <w:rsid w:val="1BD96413"/>
    <w:rsid w:val="1C4C72F1"/>
    <w:rsid w:val="1CE3717B"/>
    <w:rsid w:val="1D4E4684"/>
    <w:rsid w:val="1DB053B5"/>
    <w:rsid w:val="1EE55B73"/>
    <w:rsid w:val="1F3476B1"/>
    <w:rsid w:val="20397860"/>
    <w:rsid w:val="20E32322"/>
    <w:rsid w:val="20F663F0"/>
    <w:rsid w:val="213134FC"/>
    <w:rsid w:val="21A72FBB"/>
    <w:rsid w:val="21E11FC6"/>
    <w:rsid w:val="220C6F12"/>
    <w:rsid w:val="22532D80"/>
    <w:rsid w:val="2278210B"/>
    <w:rsid w:val="22C176A5"/>
    <w:rsid w:val="22CE1512"/>
    <w:rsid w:val="232C60BB"/>
    <w:rsid w:val="2345011A"/>
    <w:rsid w:val="23B91080"/>
    <w:rsid w:val="23E05B99"/>
    <w:rsid w:val="25FC6389"/>
    <w:rsid w:val="261E5A01"/>
    <w:rsid w:val="26367D50"/>
    <w:rsid w:val="26B47EBF"/>
    <w:rsid w:val="276A697C"/>
    <w:rsid w:val="27812C6A"/>
    <w:rsid w:val="27F76CB5"/>
    <w:rsid w:val="282B72BE"/>
    <w:rsid w:val="28AA016A"/>
    <w:rsid w:val="29B45509"/>
    <w:rsid w:val="29C64C39"/>
    <w:rsid w:val="29CA0B84"/>
    <w:rsid w:val="29D64F42"/>
    <w:rsid w:val="29D65274"/>
    <w:rsid w:val="2A5C6DEA"/>
    <w:rsid w:val="2AC848B9"/>
    <w:rsid w:val="2AE71479"/>
    <w:rsid w:val="2AF60BC6"/>
    <w:rsid w:val="2B1B3F88"/>
    <w:rsid w:val="2B494B53"/>
    <w:rsid w:val="2B5D2E17"/>
    <w:rsid w:val="2B833E64"/>
    <w:rsid w:val="2C0072F3"/>
    <w:rsid w:val="2C245AA6"/>
    <w:rsid w:val="2C9869AA"/>
    <w:rsid w:val="2CAA275C"/>
    <w:rsid w:val="2CC22F94"/>
    <w:rsid w:val="2D263E31"/>
    <w:rsid w:val="2D7715D9"/>
    <w:rsid w:val="2E223ECE"/>
    <w:rsid w:val="2E2A74F6"/>
    <w:rsid w:val="2E7362B0"/>
    <w:rsid w:val="2E8379AE"/>
    <w:rsid w:val="2EA83443"/>
    <w:rsid w:val="2EB733F9"/>
    <w:rsid w:val="2F0B2844"/>
    <w:rsid w:val="2F466BFC"/>
    <w:rsid w:val="2F754489"/>
    <w:rsid w:val="2F927A9B"/>
    <w:rsid w:val="30146F74"/>
    <w:rsid w:val="3063004E"/>
    <w:rsid w:val="30E41754"/>
    <w:rsid w:val="310C20AA"/>
    <w:rsid w:val="31146A04"/>
    <w:rsid w:val="31773179"/>
    <w:rsid w:val="31815A7B"/>
    <w:rsid w:val="318D4151"/>
    <w:rsid w:val="31E700F2"/>
    <w:rsid w:val="32367496"/>
    <w:rsid w:val="32A47C1E"/>
    <w:rsid w:val="32B22CD9"/>
    <w:rsid w:val="334278BC"/>
    <w:rsid w:val="336F1909"/>
    <w:rsid w:val="33D55D66"/>
    <w:rsid w:val="33F903A9"/>
    <w:rsid w:val="340E37F8"/>
    <w:rsid w:val="341A1FC7"/>
    <w:rsid w:val="3427679F"/>
    <w:rsid w:val="34346877"/>
    <w:rsid w:val="35752C43"/>
    <w:rsid w:val="35BD303D"/>
    <w:rsid w:val="360E455D"/>
    <w:rsid w:val="363812DD"/>
    <w:rsid w:val="36A20A00"/>
    <w:rsid w:val="36A77688"/>
    <w:rsid w:val="375449E8"/>
    <w:rsid w:val="375F53BE"/>
    <w:rsid w:val="376230EF"/>
    <w:rsid w:val="3778371F"/>
    <w:rsid w:val="3788561B"/>
    <w:rsid w:val="37CD5630"/>
    <w:rsid w:val="380E7004"/>
    <w:rsid w:val="38262635"/>
    <w:rsid w:val="3B2F6697"/>
    <w:rsid w:val="3CA905C8"/>
    <w:rsid w:val="3CEF6234"/>
    <w:rsid w:val="3DBA7B37"/>
    <w:rsid w:val="3F5B0157"/>
    <w:rsid w:val="3FBF17C8"/>
    <w:rsid w:val="4011397D"/>
    <w:rsid w:val="40215026"/>
    <w:rsid w:val="406E02E4"/>
    <w:rsid w:val="40887E19"/>
    <w:rsid w:val="412B34F2"/>
    <w:rsid w:val="4144543E"/>
    <w:rsid w:val="418D32B9"/>
    <w:rsid w:val="41C200A5"/>
    <w:rsid w:val="42703C17"/>
    <w:rsid w:val="43275D41"/>
    <w:rsid w:val="438A497C"/>
    <w:rsid w:val="4468135E"/>
    <w:rsid w:val="44915203"/>
    <w:rsid w:val="44FC67D7"/>
    <w:rsid w:val="4525083A"/>
    <w:rsid w:val="464B029F"/>
    <w:rsid w:val="46FF7F13"/>
    <w:rsid w:val="47404F06"/>
    <w:rsid w:val="47FB07C8"/>
    <w:rsid w:val="48EC4203"/>
    <w:rsid w:val="49D26898"/>
    <w:rsid w:val="4A0500D7"/>
    <w:rsid w:val="4ACA3955"/>
    <w:rsid w:val="4AF00061"/>
    <w:rsid w:val="4B336C94"/>
    <w:rsid w:val="4B3F2364"/>
    <w:rsid w:val="4B515BFA"/>
    <w:rsid w:val="4B6A0FA7"/>
    <w:rsid w:val="4CE7705F"/>
    <w:rsid w:val="4CEF173D"/>
    <w:rsid w:val="4D3C09EB"/>
    <w:rsid w:val="4D8F0C2E"/>
    <w:rsid w:val="4EB4758B"/>
    <w:rsid w:val="4EF71C2E"/>
    <w:rsid w:val="4F6D1E36"/>
    <w:rsid w:val="4F716DF5"/>
    <w:rsid w:val="4F757309"/>
    <w:rsid w:val="50202D7A"/>
    <w:rsid w:val="506D083A"/>
    <w:rsid w:val="507F78BA"/>
    <w:rsid w:val="50BE0786"/>
    <w:rsid w:val="51CF762C"/>
    <w:rsid w:val="52D51E4A"/>
    <w:rsid w:val="53504A8A"/>
    <w:rsid w:val="53911FB8"/>
    <w:rsid w:val="53F41375"/>
    <w:rsid w:val="543C4E63"/>
    <w:rsid w:val="545414AB"/>
    <w:rsid w:val="54F16C47"/>
    <w:rsid w:val="550F63BC"/>
    <w:rsid w:val="553B5D0F"/>
    <w:rsid w:val="554C2F6D"/>
    <w:rsid w:val="556514BC"/>
    <w:rsid w:val="55881BC5"/>
    <w:rsid w:val="559323BD"/>
    <w:rsid w:val="55E134BA"/>
    <w:rsid w:val="55E17E89"/>
    <w:rsid w:val="560446C4"/>
    <w:rsid w:val="561760B2"/>
    <w:rsid w:val="563770B7"/>
    <w:rsid w:val="56577A6E"/>
    <w:rsid w:val="568E2262"/>
    <w:rsid w:val="57097B3A"/>
    <w:rsid w:val="572412EA"/>
    <w:rsid w:val="57705397"/>
    <w:rsid w:val="57C31A5C"/>
    <w:rsid w:val="57EF17A9"/>
    <w:rsid w:val="57F73F32"/>
    <w:rsid w:val="584A3D1A"/>
    <w:rsid w:val="595E23F3"/>
    <w:rsid w:val="599E4A86"/>
    <w:rsid w:val="59C82DA5"/>
    <w:rsid w:val="5A824D63"/>
    <w:rsid w:val="5ADF0FCC"/>
    <w:rsid w:val="5B30423B"/>
    <w:rsid w:val="5B951C5B"/>
    <w:rsid w:val="5BF62999"/>
    <w:rsid w:val="5C32502D"/>
    <w:rsid w:val="5C53459A"/>
    <w:rsid w:val="5CA447ED"/>
    <w:rsid w:val="5CBF40A6"/>
    <w:rsid w:val="5D4F1366"/>
    <w:rsid w:val="5D5F3A5F"/>
    <w:rsid w:val="5DC53E00"/>
    <w:rsid w:val="5E0C35C0"/>
    <w:rsid w:val="5EC84C70"/>
    <w:rsid w:val="5EEB76D4"/>
    <w:rsid w:val="5EF05BE6"/>
    <w:rsid w:val="5F3C34FF"/>
    <w:rsid w:val="5F6728B2"/>
    <w:rsid w:val="5F754A23"/>
    <w:rsid w:val="5FF8164C"/>
    <w:rsid w:val="601B22F3"/>
    <w:rsid w:val="602551C7"/>
    <w:rsid w:val="6070161F"/>
    <w:rsid w:val="60FA3F05"/>
    <w:rsid w:val="619C760D"/>
    <w:rsid w:val="61A132B0"/>
    <w:rsid w:val="61C84757"/>
    <w:rsid w:val="61D9015D"/>
    <w:rsid w:val="62306688"/>
    <w:rsid w:val="626C17F2"/>
    <w:rsid w:val="62A000F6"/>
    <w:rsid w:val="63D262EE"/>
    <w:rsid w:val="64045177"/>
    <w:rsid w:val="64447D98"/>
    <w:rsid w:val="644F09DB"/>
    <w:rsid w:val="64CF3FFC"/>
    <w:rsid w:val="651B2786"/>
    <w:rsid w:val="65A25C93"/>
    <w:rsid w:val="663E6608"/>
    <w:rsid w:val="66544946"/>
    <w:rsid w:val="66846F11"/>
    <w:rsid w:val="68112AF3"/>
    <w:rsid w:val="6843715E"/>
    <w:rsid w:val="68706FD1"/>
    <w:rsid w:val="68920FCB"/>
    <w:rsid w:val="68EC6689"/>
    <w:rsid w:val="68F12676"/>
    <w:rsid w:val="68F7510A"/>
    <w:rsid w:val="68F84A0A"/>
    <w:rsid w:val="6A3C0E9E"/>
    <w:rsid w:val="6A8D4CE0"/>
    <w:rsid w:val="6AE70488"/>
    <w:rsid w:val="6B5641B0"/>
    <w:rsid w:val="6B8245DE"/>
    <w:rsid w:val="6BA75769"/>
    <w:rsid w:val="6C09447E"/>
    <w:rsid w:val="6CBF43C7"/>
    <w:rsid w:val="6D2E4D90"/>
    <w:rsid w:val="6D4946E5"/>
    <w:rsid w:val="6D6253BD"/>
    <w:rsid w:val="6D764A1E"/>
    <w:rsid w:val="6E154013"/>
    <w:rsid w:val="6F2B547F"/>
    <w:rsid w:val="6F483C3B"/>
    <w:rsid w:val="6FCE401E"/>
    <w:rsid w:val="70132D61"/>
    <w:rsid w:val="705A39A7"/>
    <w:rsid w:val="70BE65D3"/>
    <w:rsid w:val="712C6510"/>
    <w:rsid w:val="71324E86"/>
    <w:rsid w:val="71430A68"/>
    <w:rsid w:val="7180742C"/>
    <w:rsid w:val="71B0071A"/>
    <w:rsid w:val="71C162DC"/>
    <w:rsid w:val="71EE7236"/>
    <w:rsid w:val="72BB4DE3"/>
    <w:rsid w:val="72C85A24"/>
    <w:rsid w:val="72CF248D"/>
    <w:rsid w:val="7328254B"/>
    <w:rsid w:val="7428454F"/>
    <w:rsid w:val="74691F3B"/>
    <w:rsid w:val="74E70E21"/>
    <w:rsid w:val="75193FB0"/>
    <w:rsid w:val="75825361"/>
    <w:rsid w:val="75A254F1"/>
    <w:rsid w:val="76270B8B"/>
    <w:rsid w:val="777A0D48"/>
    <w:rsid w:val="778C44F1"/>
    <w:rsid w:val="779C1474"/>
    <w:rsid w:val="77DD238A"/>
    <w:rsid w:val="7838107C"/>
    <w:rsid w:val="7A3C0016"/>
    <w:rsid w:val="7A4074AE"/>
    <w:rsid w:val="7AB96624"/>
    <w:rsid w:val="7ADE01E8"/>
    <w:rsid w:val="7B031E9F"/>
    <w:rsid w:val="7B2B7AA7"/>
    <w:rsid w:val="7B7F4E09"/>
    <w:rsid w:val="7BA312B4"/>
    <w:rsid w:val="7BD11D8E"/>
    <w:rsid w:val="7BF452AC"/>
    <w:rsid w:val="7C312D0F"/>
    <w:rsid w:val="7C6D6084"/>
    <w:rsid w:val="7D8356BF"/>
    <w:rsid w:val="7DB60398"/>
    <w:rsid w:val="7DFD441D"/>
    <w:rsid w:val="7E1F2A86"/>
    <w:rsid w:val="7E7471F5"/>
    <w:rsid w:val="7EBF2D95"/>
    <w:rsid w:val="7F894B34"/>
    <w:rsid w:val="7FC60F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200"/>
    </w:pPr>
  </w:style>
  <w:style w:type="paragraph" w:styleId="3">
    <w:name w:val="Body Text Indent"/>
    <w:basedOn w:val="1"/>
    <w:qFormat/>
    <w:uiPriority w:val="0"/>
    <w:pPr>
      <w:spacing w:line="580" w:lineRule="exact"/>
      <w:ind w:firstLine="648" w:firstLineChars="200"/>
    </w:pPr>
    <w:rPr>
      <w:rFonts w:ascii="黑体" w:eastAsia="黑体"/>
      <w:szCs w:val="28"/>
    </w:rPr>
  </w:style>
  <w:style w:type="paragraph" w:styleId="4">
    <w:name w:val="annotation text"/>
    <w:basedOn w:val="1"/>
    <w:qFormat/>
    <w:uiPriority w:val="0"/>
    <w:pPr>
      <w:jc w:val="left"/>
    </w:pPr>
  </w:style>
  <w:style w:type="paragraph" w:styleId="5">
    <w:name w:val="Body Text"/>
    <w:basedOn w:val="1"/>
    <w:qFormat/>
    <w:uiPriority w:val="0"/>
    <w:pPr>
      <w:ind w:left="100"/>
    </w:pPr>
    <w:rPr>
      <w:rFonts w:ascii="宋体" w:hAnsi="宋体"/>
      <w:szCs w:val="21"/>
    </w:rPr>
  </w:style>
  <w:style w:type="paragraph" w:styleId="6">
    <w:name w:val="Plain Text"/>
    <w:basedOn w:val="1"/>
    <w:qFormat/>
    <w:uiPriority w:val="0"/>
    <w:rPr>
      <w:rFonts w:hint="eastAsia" w:ascii="宋体" w:hAnsi="Courier New" w:eastAsia="仿宋_GB2312"/>
      <w:sz w:val="10"/>
      <w:szCs w:val="20"/>
    </w:rPr>
  </w:style>
  <w:style w:type="paragraph" w:styleId="7">
    <w:name w:val="Balloon Text"/>
    <w:basedOn w:val="1"/>
    <w:link w:val="18"/>
    <w:qFormat/>
    <w:uiPriority w:val="0"/>
    <w:rPr>
      <w:sz w:val="18"/>
      <w:szCs w:val="18"/>
    </w:rPr>
  </w:style>
  <w:style w:type="paragraph" w:styleId="8">
    <w:name w:val="footer"/>
    <w:basedOn w:val="1"/>
    <w:link w:val="16"/>
    <w:qFormat/>
    <w:uiPriority w:val="0"/>
    <w:pPr>
      <w:tabs>
        <w:tab w:val="center" w:pos="4153"/>
        <w:tab w:val="right" w:pos="8306"/>
      </w:tabs>
      <w:snapToGrid w:val="0"/>
      <w:jc w:val="left"/>
    </w:pPr>
    <w:rPr>
      <w:sz w:val="18"/>
      <w:szCs w:val="18"/>
    </w:rPr>
  </w:style>
  <w:style w:type="paragraph" w:styleId="9">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10">
    <w:name w:val="Title"/>
    <w:basedOn w:val="1"/>
    <w:next w:val="1"/>
    <w:qFormat/>
    <w:uiPriority w:val="0"/>
    <w:pPr>
      <w:spacing w:before="240" w:after="60"/>
      <w:jc w:val="center"/>
      <w:outlineLvl w:val="0"/>
    </w:pPr>
    <w:rPr>
      <w:rFonts w:ascii="Cambria" w:hAnsi="Cambria"/>
      <w:b/>
      <w:bCs/>
      <w:sz w:val="32"/>
      <w:szCs w:val="32"/>
    </w:rPr>
  </w:style>
  <w:style w:type="paragraph" w:customStyle="1" w:styleId="13">
    <w:name w:val="标题 5（有编号）（绿盟科技）"/>
    <w:basedOn w:val="1"/>
    <w:next w:val="14"/>
    <w:qFormat/>
    <w:uiPriority w:val="0"/>
    <w:pPr>
      <w:keepNext/>
      <w:keepLines/>
      <w:numPr>
        <w:ilvl w:val="4"/>
        <w:numId w:val="1"/>
      </w:numPr>
      <w:spacing w:before="280" w:after="156" w:line="377" w:lineRule="auto"/>
      <w:jc w:val="left"/>
      <w:outlineLvl w:val="4"/>
    </w:pPr>
    <w:rPr>
      <w:rFonts w:ascii="Arial" w:hAnsi="Arial" w:eastAsia="黑体"/>
      <w:b/>
      <w:kern w:val="0"/>
      <w:sz w:val="24"/>
      <w:szCs w:val="28"/>
    </w:rPr>
  </w:style>
  <w:style w:type="paragraph" w:customStyle="1" w:styleId="14">
    <w:name w:val="正文（绿盟科技）"/>
    <w:qFormat/>
    <w:uiPriority w:val="0"/>
    <w:pPr>
      <w:spacing w:line="300" w:lineRule="auto"/>
    </w:pPr>
    <w:rPr>
      <w:rFonts w:ascii="Arial" w:hAnsi="Arial" w:eastAsia="宋体" w:cs="黑体"/>
      <w:sz w:val="21"/>
      <w:szCs w:val="21"/>
      <w:lang w:val="en-US" w:eastAsia="zh-CN" w:bidi="ar-SA"/>
    </w:rPr>
  </w:style>
  <w:style w:type="character" w:customStyle="1" w:styleId="15">
    <w:name w:val="页眉 Char"/>
    <w:basedOn w:val="12"/>
    <w:link w:val="9"/>
    <w:qFormat/>
    <w:uiPriority w:val="0"/>
    <w:rPr>
      <w:kern w:val="2"/>
      <w:sz w:val="18"/>
      <w:szCs w:val="18"/>
    </w:rPr>
  </w:style>
  <w:style w:type="character" w:customStyle="1" w:styleId="16">
    <w:name w:val="页脚 Char"/>
    <w:basedOn w:val="12"/>
    <w:link w:val="8"/>
    <w:qFormat/>
    <w:uiPriority w:val="0"/>
    <w:rPr>
      <w:kern w:val="2"/>
      <w:sz w:val="18"/>
      <w:szCs w:val="18"/>
    </w:rPr>
  </w:style>
  <w:style w:type="paragraph" w:styleId="17">
    <w:name w:val="List Paragraph"/>
    <w:basedOn w:val="1"/>
    <w:unhideWhenUsed/>
    <w:qFormat/>
    <w:uiPriority w:val="99"/>
    <w:pPr>
      <w:ind w:firstLine="420" w:firstLineChars="200"/>
    </w:pPr>
  </w:style>
  <w:style w:type="character" w:customStyle="1" w:styleId="18">
    <w:name w:val="批注框文本 Char"/>
    <w:basedOn w:val="12"/>
    <w:link w:val="7"/>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3148</Words>
  <Characters>3275</Characters>
  <Lines>26</Lines>
  <Paragraphs>7</Paragraphs>
  <TotalTime>12</TotalTime>
  <ScaleCrop>false</ScaleCrop>
  <LinksUpToDate>false</LinksUpToDate>
  <CharactersWithSpaces>3389</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2021-04-19T03:19:00Z</dcterms:created>
  <dc:creator>杨成平</dc:creator>
  <cp:lastModifiedBy>Administrator</cp:lastModifiedBy>
  <cp:lastPrinted>2024-06-11T03:31:00Z</cp:lastPrinted>
  <dcterms:modified xsi:type="dcterms:W3CDTF">2025-06-19T02:51:18Z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2B03119BEF5D4111A6D012D0062EEB90</vt:lpwstr>
  </property>
</Properties>
</file>