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auto"/>
          <w:sz w:val="24"/>
        </w:rPr>
      </w:pPr>
      <w:r>
        <w:rPr>
          <w:rFonts w:hint="eastAsia" w:ascii="宋体" w:hAnsi="宋体"/>
          <w:color w:val="auto"/>
          <w:sz w:val="24"/>
          <w:lang w:val="en-US" w:eastAsia="zh-CN"/>
        </w:rPr>
        <w:t xml:space="preserve">  </w:t>
      </w:r>
      <w:r>
        <w:rPr>
          <w:rFonts w:hint="eastAsia" w:ascii="宋体" w:hAnsi="宋体"/>
          <w:color w:val="auto"/>
          <w:sz w:val="24"/>
        </w:rPr>
        <w:t>我公司拟对</w:t>
      </w:r>
      <w:r>
        <w:rPr>
          <w:rFonts w:hint="eastAsia" w:ascii="宋体" w:hAnsi="宋体"/>
          <w:color w:val="auto"/>
          <w:sz w:val="24"/>
          <w:u w:val="single"/>
          <w:lang w:eastAsia="zh-CN"/>
        </w:rPr>
        <w:t>雅安文教新城建设项目（一期）二标段（大同路、众友路）劳务分包项目废旧围挡处置</w:t>
      </w:r>
      <w:r>
        <w:rPr>
          <w:rFonts w:hint="eastAsia" w:ascii="宋体" w:hAnsi="宋体"/>
          <w:color w:val="auto"/>
          <w:sz w:val="24"/>
        </w:rPr>
        <w:t>进行</w:t>
      </w:r>
      <w:r>
        <w:rPr>
          <w:rFonts w:hint="eastAsia" w:ascii="宋体" w:hAnsi="宋体"/>
          <w:color w:val="auto"/>
          <w:sz w:val="24"/>
          <w:lang w:eastAsia="zh-CN"/>
        </w:rPr>
        <w:t>竞价</w:t>
      </w:r>
      <w:r>
        <w:rPr>
          <w:rFonts w:hint="eastAsia" w:ascii="宋体" w:hAnsi="宋体"/>
          <w:color w:val="auto"/>
          <w:sz w:val="24"/>
        </w:rPr>
        <w:t>，现诚邀遵守国家、地方有关法律、</w:t>
      </w:r>
      <w:r>
        <w:rPr>
          <w:rFonts w:hint="eastAsia" w:ascii="宋体" w:hAnsi="宋体"/>
          <w:color w:val="auto"/>
          <w:sz w:val="24"/>
          <w:lang w:val="en-US" w:eastAsia="zh-CN"/>
        </w:rPr>
        <w:t>法</w:t>
      </w:r>
      <w:r>
        <w:rPr>
          <w:rFonts w:hint="eastAsia" w:ascii="宋体" w:hAnsi="宋体"/>
          <w:color w:val="auto"/>
          <w:sz w:val="24"/>
        </w:rPr>
        <w:t>规，具有良好的商业信誉及服务能力的单位参加。</w:t>
      </w:r>
    </w:p>
    <w:p>
      <w:pPr>
        <w:ind w:firstLine="480" w:firstLineChars="200"/>
        <w:jc w:val="left"/>
        <w:rPr>
          <w:rFonts w:hint="eastAsia" w:ascii="宋体" w:hAnsi="宋体"/>
          <w:color w:val="auto"/>
          <w:sz w:val="24"/>
        </w:rPr>
      </w:pPr>
    </w:p>
    <w:tbl>
      <w:tblPr>
        <w:tblStyle w:val="11"/>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bCs w:val="0"/>
                <w:color w:val="auto"/>
                <w:szCs w:val="21"/>
              </w:rPr>
              <w:t>项目名称：</w:t>
            </w:r>
            <w:r>
              <w:rPr>
                <w:rFonts w:hint="eastAsia" w:ascii="宋体" w:hAnsi="宋体"/>
                <w:color w:val="auto"/>
                <w:sz w:val="24"/>
                <w:u w:val="single"/>
                <w:lang w:val="en-US" w:eastAsia="zh-CN"/>
              </w:rPr>
              <w:t>雅安文教新城建设项目（一期）二标段（大同路、众友路）劳务分包项目废旧围挡处置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hint="default" w:ascii="宋体" w:hAnsi="宋体"/>
                <w:b w:val="0"/>
                <w:bCs/>
                <w:color w:val="auto"/>
                <w:szCs w:val="21"/>
                <w:lang w:val="en-US"/>
              </w:rPr>
            </w:pPr>
            <w:r>
              <w:rPr>
                <w:rFonts w:hint="eastAsia" w:ascii="宋体" w:hAnsi="宋体"/>
                <w:b/>
                <w:bCs w:val="0"/>
                <w:color w:val="auto"/>
                <w:szCs w:val="21"/>
                <w:lang w:val="en-US" w:eastAsia="zh-CN"/>
              </w:rPr>
              <w:t>采购人</w:t>
            </w:r>
            <w:r>
              <w:rPr>
                <w:rFonts w:hint="eastAsia" w:ascii="宋体" w:hAnsi="宋体"/>
                <w:b/>
                <w:bCs w:val="0"/>
                <w:color w:val="auto"/>
                <w:szCs w:val="21"/>
              </w:rPr>
              <w:t>名称：</w:t>
            </w:r>
            <w:r>
              <w:rPr>
                <w:rFonts w:hint="eastAsia" w:ascii="宋体" w:hAnsi="宋体"/>
                <w:b w:val="0"/>
                <w:bCs/>
                <w:color w:val="auto"/>
                <w:szCs w:val="21"/>
                <w:lang w:val="en-US" w:eastAsia="zh-CN"/>
              </w:rPr>
              <w:t>雅安石棉大渡河建设发展有限公司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rPr>
              <w:t>联系人</w:t>
            </w:r>
            <w:r>
              <w:rPr>
                <w:rFonts w:hint="eastAsia" w:ascii="宋体" w:hAnsi="宋体"/>
                <w:b/>
                <w:bCs w:val="0"/>
                <w:color w:val="auto"/>
                <w:szCs w:val="21"/>
                <w:lang w:val="en-US" w:eastAsia="zh-CN"/>
              </w:rPr>
              <w:t>/经办人</w:t>
            </w:r>
          </w:p>
        </w:tc>
        <w:tc>
          <w:tcPr>
            <w:tcW w:w="2574" w:type="dxa"/>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lang w:val="en-US" w:eastAsia="zh-CN"/>
              </w:rPr>
              <w:t>高先生</w:t>
            </w:r>
          </w:p>
        </w:tc>
        <w:tc>
          <w:tcPr>
            <w:tcW w:w="1552" w:type="dxa"/>
            <w:tcBorders>
              <w:bottom w:val="single" w:color="auto" w:sz="4" w:space="0"/>
            </w:tcBorders>
            <w:noWrap w:val="0"/>
            <w:vAlign w:val="top"/>
          </w:tcPr>
          <w:p>
            <w:pPr>
              <w:spacing w:line="500" w:lineRule="exact"/>
              <w:rPr>
                <w:rFonts w:ascii="宋体" w:hAnsi="宋体"/>
                <w:b w:val="0"/>
                <w:bCs/>
                <w:color w:val="auto"/>
                <w:szCs w:val="21"/>
              </w:rPr>
            </w:pPr>
            <w:r>
              <w:rPr>
                <w:rFonts w:hint="eastAsia" w:ascii="宋体" w:hAnsi="宋体"/>
                <w:b/>
                <w:bCs w:val="0"/>
                <w:color w:val="auto"/>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18180008214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lang w:val="en-US" w:eastAsia="zh-CN"/>
              </w:rPr>
              <w:t>雅安文教新城建设项目（一期）二标段（大同路、众友路）劳务分包项目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auto"/>
                <w:szCs w:val="21"/>
                <w:lang w:eastAsia="zh-CN"/>
              </w:rPr>
            </w:pPr>
            <w:r>
              <w:rPr>
                <w:rFonts w:hint="eastAsia" w:ascii="宋体" w:hAnsi="宋体"/>
                <w:b/>
                <w:bCs w:val="0"/>
                <w:color w:val="auto"/>
                <w:szCs w:val="21"/>
                <w:lang w:eastAsia="zh-CN"/>
              </w:rPr>
              <w:t>竞价</w:t>
            </w:r>
            <w:r>
              <w:rPr>
                <w:rFonts w:hint="eastAsia" w:ascii="宋体" w:hAnsi="宋体"/>
                <w:b/>
                <w:bCs w:val="0"/>
                <w:color w:val="auto"/>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auto"/>
                <w:szCs w:val="21"/>
                <w:lang w:val="en-US"/>
              </w:rPr>
            </w:pPr>
            <w:r>
              <w:rPr>
                <w:rFonts w:hint="eastAsia" w:ascii="宋体" w:hAnsi="宋体"/>
                <w:b w:val="0"/>
                <w:bCs/>
                <w:color w:val="auto"/>
                <w:szCs w:val="21"/>
                <w:u w:val="single"/>
                <w:lang w:val="en-US" w:eastAsia="zh-CN"/>
              </w:rPr>
              <w:t>施工现场废旧围挡拆除、处置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color w:val="auto"/>
                <w:lang w:val="en-US" w:eastAsia="zh-CN"/>
              </w:rPr>
            </w:pPr>
            <w:r>
              <w:rPr>
                <w:rFonts w:hint="eastAsia"/>
                <w:color w:val="auto"/>
                <w:lang w:val="en-US" w:eastAsia="zh-CN"/>
              </w:rPr>
              <w:t>工期：</w:t>
            </w:r>
            <w:r>
              <w:rPr>
                <w:rFonts w:hint="eastAsia" w:ascii="宋体" w:hAnsi="宋体"/>
                <w:b w:val="0"/>
                <w:bCs/>
                <w:color w:val="auto"/>
                <w:szCs w:val="21"/>
                <w:lang w:val="en-US" w:eastAsia="zh-CN"/>
              </w:rPr>
              <w:t>以施工进度为准。</w:t>
            </w:r>
          </w:p>
          <w:p>
            <w:pPr>
              <w:pStyle w:val="4"/>
              <w:numPr>
                <w:ilvl w:val="0"/>
                <w:numId w:val="1"/>
              </w:numPr>
              <w:rPr>
                <w:rFonts w:hint="default"/>
                <w:color w:val="auto"/>
                <w:lang w:val="en-US" w:eastAsia="zh-CN"/>
              </w:rPr>
            </w:pPr>
            <w:r>
              <w:rPr>
                <w:rFonts w:hint="eastAsia"/>
                <w:color w:val="auto"/>
                <w:lang w:val="en-US" w:eastAsia="zh-CN"/>
              </w:rPr>
              <w:t>质量要求：</w:t>
            </w:r>
            <w:r>
              <w:rPr>
                <w:rFonts w:hint="eastAsia" w:ascii="宋体" w:hAnsi="宋体"/>
                <w:b w:val="0"/>
                <w:bCs/>
                <w:color w:val="auto"/>
                <w:szCs w:val="21"/>
                <w:lang w:val="en-US" w:eastAsia="zh-CN"/>
              </w:rPr>
              <w:t>施工方要求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auto"/>
                <w:szCs w:val="21"/>
              </w:rPr>
            </w:pPr>
            <w:r>
              <w:rPr>
                <w:rFonts w:hint="eastAsia" w:ascii="宋体" w:hAnsi="宋体"/>
                <w:b/>
                <w:bCs w:val="0"/>
                <w:color w:val="auto"/>
                <w:szCs w:val="21"/>
                <w:lang w:val="en-US" w:eastAsia="zh-CN"/>
              </w:rPr>
              <w:t>资质及</w:t>
            </w:r>
            <w:r>
              <w:rPr>
                <w:rFonts w:hint="eastAsia" w:ascii="宋体" w:hAnsi="宋体"/>
                <w:b/>
                <w:bCs w:val="0"/>
                <w:color w:val="auto"/>
                <w:szCs w:val="21"/>
              </w:rPr>
              <w:t>资格要求</w:t>
            </w:r>
          </w:p>
        </w:tc>
        <w:tc>
          <w:tcPr>
            <w:tcW w:w="7948" w:type="dxa"/>
            <w:gridSpan w:val="3"/>
            <w:noWrap w:val="0"/>
            <w:vAlign w:val="top"/>
          </w:tcPr>
          <w:p>
            <w:pPr>
              <w:spacing w:line="500" w:lineRule="exact"/>
              <w:jc w:val="left"/>
              <w:rPr>
                <w:rFonts w:hint="eastAsia"/>
                <w:b/>
                <w:bCs/>
                <w:color w:val="auto"/>
              </w:rPr>
            </w:pPr>
            <w:r>
              <w:rPr>
                <w:rFonts w:hint="eastAsia"/>
                <w:color w:val="auto"/>
              </w:rPr>
              <w:t>（一）资质</w:t>
            </w:r>
            <w:r>
              <w:rPr>
                <w:rFonts w:hint="eastAsia"/>
                <w:color w:val="auto"/>
                <w:lang w:val="en-US" w:eastAsia="zh-CN"/>
              </w:rPr>
              <w:t>要求</w:t>
            </w:r>
            <w:r>
              <w:rPr>
                <w:rFonts w:hint="eastAsia"/>
                <w:color w:val="auto"/>
              </w:rPr>
              <w:t>：</w:t>
            </w:r>
            <w:r>
              <w:rPr>
                <w:rFonts w:hint="eastAsia"/>
                <w:b w:val="0"/>
                <w:bCs w:val="0"/>
                <w:color w:val="auto"/>
                <w:lang w:val="en-US" w:eastAsia="zh-CN"/>
              </w:rPr>
              <w:t>：持有经工商行政管理部门登记注册的合法有效营业执照。</w:t>
            </w:r>
          </w:p>
          <w:p>
            <w:pPr>
              <w:spacing w:line="500" w:lineRule="exact"/>
              <w:jc w:val="left"/>
              <w:rPr>
                <w:rFonts w:hint="default"/>
                <w:color w:val="auto"/>
                <w:lang w:val="en-US" w:eastAsia="zh-CN"/>
              </w:rPr>
            </w:pPr>
            <w:r>
              <w:rPr>
                <w:rFonts w:hint="eastAsia"/>
                <w:color w:val="auto"/>
                <w:lang w:val="en-US" w:eastAsia="zh-CN"/>
              </w:rPr>
              <w:t>（二）资格要求</w:t>
            </w:r>
            <w:r>
              <w:rPr>
                <w:rFonts w:hint="eastAsia"/>
                <w:b/>
                <w:bCs/>
                <w:color w:val="auto"/>
                <w:lang w:val="en-US" w:eastAsia="zh-CN"/>
              </w:rPr>
              <w:t>（应在竞价文件中进行响应，可统一以承诺函形式体现）</w:t>
            </w:r>
          </w:p>
          <w:p>
            <w:pPr>
              <w:spacing w:line="500" w:lineRule="exact"/>
              <w:jc w:val="left"/>
              <w:rPr>
                <w:rFonts w:hint="eastAsia"/>
                <w:color w:val="auto"/>
                <w:lang w:eastAsia="zh-CN"/>
              </w:rPr>
            </w:pPr>
            <w:r>
              <w:rPr>
                <w:rFonts w:hint="eastAsia"/>
                <w:color w:val="auto"/>
              </w:rPr>
              <w:t>（1）具有独立承担民事责任的能力</w:t>
            </w:r>
            <w:r>
              <w:rPr>
                <w:rFonts w:hint="eastAsia"/>
                <w:color w:val="auto"/>
                <w:lang w:eastAsia="zh-CN"/>
              </w:rPr>
              <w:t>；</w:t>
            </w:r>
          </w:p>
          <w:p>
            <w:pPr>
              <w:spacing w:line="500" w:lineRule="exact"/>
              <w:jc w:val="left"/>
              <w:rPr>
                <w:rFonts w:hint="eastAsia"/>
                <w:color w:val="auto"/>
              </w:rPr>
            </w:pPr>
            <w:r>
              <w:rPr>
                <w:rFonts w:hint="eastAsia"/>
                <w:color w:val="auto"/>
              </w:rPr>
              <w:t>（2）具有良好的商业信誉；</w:t>
            </w:r>
          </w:p>
          <w:p>
            <w:pPr>
              <w:spacing w:line="500" w:lineRule="exact"/>
              <w:jc w:val="left"/>
              <w:rPr>
                <w:rFonts w:hint="eastAsia"/>
                <w:color w:val="auto"/>
              </w:rPr>
            </w:pPr>
            <w:r>
              <w:rPr>
                <w:rFonts w:hint="eastAsia"/>
                <w:color w:val="auto"/>
              </w:rPr>
              <w:t>（3）具有履行合同所必需的</w:t>
            </w:r>
            <w:r>
              <w:rPr>
                <w:rFonts w:hint="eastAsia"/>
                <w:color w:val="auto"/>
                <w:lang w:val="en-US" w:eastAsia="zh-CN"/>
              </w:rPr>
              <w:t>条件和</w:t>
            </w:r>
            <w:r>
              <w:rPr>
                <w:rFonts w:hint="eastAsia"/>
                <w:color w:val="auto"/>
              </w:rPr>
              <w:t>能力；</w:t>
            </w:r>
          </w:p>
          <w:p>
            <w:pPr>
              <w:spacing w:line="500" w:lineRule="exact"/>
              <w:jc w:val="left"/>
              <w:rPr>
                <w:rFonts w:hint="eastAsia"/>
                <w:color w:val="auto"/>
              </w:rPr>
            </w:pPr>
            <w:r>
              <w:rPr>
                <w:rFonts w:hint="eastAsia"/>
                <w:color w:val="auto"/>
              </w:rPr>
              <w:t>（4）有依法缴纳税收和社会保障资金的良好记录；</w:t>
            </w:r>
          </w:p>
          <w:p>
            <w:pPr>
              <w:spacing w:line="500" w:lineRule="exact"/>
              <w:jc w:val="left"/>
              <w:rPr>
                <w:rFonts w:hint="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）参加本次竞价前三年内，在经营活动中没有重大违法记录；</w:t>
            </w:r>
          </w:p>
          <w:p>
            <w:pPr>
              <w:spacing w:line="500" w:lineRule="exact"/>
              <w:jc w:val="left"/>
              <w:rPr>
                <w:rFonts w:hint="eastAsia"/>
                <w:color w:val="auto"/>
                <w:lang w:eastAsia="zh-CN"/>
              </w:rPr>
            </w:pPr>
            <w:r>
              <w:rPr>
                <w:rFonts w:hint="eastAsia"/>
                <w:color w:val="auto"/>
              </w:rPr>
              <w:t>（</w:t>
            </w:r>
            <w:r>
              <w:rPr>
                <w:rFonts w:hint="eastAsia"/>
                <w:color w:val="auto"/>
                <w:lang w:val="en-US" w:eastAsia="zh-CN"/>
              </w:rPr>
              <w:t>6</w:t>
            </w:r>
            <w:r>
              <w:rPr>
                <w:rFonts w:hint="eastAsia"/>
                <w:color w:val="auto"/>
              </w:rPr>
              <w:t>）</w:t>
            </w:r>
            <w:r>
              <w:rPr>
                <w:rFonts w:hint="eastAsia"/>
                <w:color w:val="auto"/>
                <w:lang w:eastAsia="zh-CN"/>
              </w:rPr>
              <w:t>递交的投标文件所有材料均真实</w:t>
            </w:r>
            <w:r>
              <w:rPr>
                <w:rFonts w:hint="eastAsia"/>
                <w:color w:val="auto"/>
                <w:lang w:val="en-US" w:eastAsia="zh-CN"/>
              </w:rPr>
              <w:t>有效，且</w:t>
            </w:r>
            <w:r>
              <w:rPr>
                <w:rFonts w:hint="eastAsia"/>
                <w:color w:val="auto"/>
                <w:lang w:eastAsia="zh-CN"/>
              </w:rPr>
              <w:t>与本次竞价其他投标人无关联；</w:t>
            </w:r>
          </w:p>
          <w:p>
            <w:pPr>
              <w:spacing w:line="500" w:lineRule="exact"/>
              <w:jc w:val="left"/>
              <w:rPr>
                <w:rFonts w:hint="default"/>
                <w:color w:val="auto"/>
                <w:lang w:val="en-US" w:eastAsia="zh-CN"/>
              </w:rPr>
            </w:pPr>
            <w:r>
              <w:rPr>
                <w:rFonts w:hint="eastAsia"/>
                <w:color w:val="auto"/>
                <w:lang w:eastAsia="zh-CN"/>
              </w:rPr>
              <w:t>（</w:t>
            </w:r>
            <w:r>
              <w:rPr>
                <w:rFonts w:hint="eastAsia"/>
                <w:color w:val="auto"/>
                <w:lang w:val="en-US" w:eastAsia="zh-CN"/>
              </w:rPr>
              <w:t>7</w:t>
            </w:r>
            <w:r>
              <w:rPr>
                <w:rFonts w:hint="eastAsia"/>
                <w:color w:val="auto"/>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noWrap w:val="0"/>
            <w:vAlign w:val="top"/>
          </w:tcPr>
          <w:p>
            <w:pPr>
              <w:spacing w:line="240" w:lineRule="auto"/>
              <w:rPr>
                <w:rFonts w:hint="eastAsia" w:ascii="宋体" w:hAnsi="宋体" w:eastAsia="宋体" w:cs="Times New Roman"/>
                <w:b/>
                <w:bCs w:val="0"/>
                <w:color w:val="auto"/>
                <w:kern w:val="2"/>
                <w:sz w:val="21"/>
                <w:szCs w:val="21"/>
                <w:lang w:val="en-US" w:eastAsia="zh-CN" w:bidi="ar-SA"/>
              </w:rPr>
            </w:pPr>
            <w:r>
              <w:rPr>
                <w:rFonts w:hint="eastAsia" w:ascii="宋体" w:hAnsi="宋体"/>
                <w:b/>
                <w:bCs w:val="0"/>
                <w:color w:val="auto"/>
                <w:szCs w:val="21"/>
                <w:lang w:val="en-US" w:eastAsia="zh-CN"/>
              </w:rPr>
              <w:t>发布</w:t>
            </w:r>
            <w:r>
              <w:rPr>
                <w:rFonts w:hint="eastAsia" w:ascii="宋体" w:hAnsi="宋体"/>
                <w:b/>
                <w:bCs w:val="0"/>
                <w:color w:val="auto"/>
                <w:szCs w:val="21"/>
                <w:lang w:eastAsia="zh-CN"/>
              </w:rPr>
              <w:t>竞价</w:t>
            </w:r>
            <w:r>
              <w:rPr>
                <w:rFonts w:hint="eastAsia" w:ascii="宋体" w:hAnsi="宋体"/>
                <w:b/>
                <w:bCs w:val="0"/>
                <w:color w:val="auto"/>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color w:val="auto"/>
                <w:kern w:val="2"/>
                <w:sz w:val="21"/>
                <w:szCs w:val="24"/>
                <w:lang w:val="en-US" w:eastAsia="zh-CN" w:bidi="ar-SA"/>
              </w:rPr>
            </w:pPr>
            <w:r>
              <w:rPr>
                <w:rFonts w:hint="eastAsia" w:ascii="宋体" w:hAnsi="宋体"/>
                <w:b/>
                <w:bCs w:val="0"/>
                <w:color w:val="auto"/>
                <w:szCs w:val="21"/>
              </w:rPr>
              <w:t>时间：</w:t>
            </w:r>
            <w:r>
              <w:rPr>
                <w:rFonts w:hint="eastAsia" w:ascii="宋体" w:hAnsi="宋体"/>
                <w:b/>
                <w:bCs w:val="0"/>
                <w:color w:val="auto"/>
                <w:szCs w:val="21"/>
                <w:lang w:val="en-US" w:eastAsia="zh-CN"/>
              </w:rPr>
              <w:t>2025</w:t>
            </w:r>
            <w:r>
              <w:rPr>
                <w:rFonts w:hint="eastAsia" w:ascii="宋体" w:hAnsi="宋体"/>
                <w:b/>
                <w:bCs w:val="0"/>
                <w:color w:val="auto"/>
                <w:szCs w:val="21"/>
              </w:rPr>
              <w:t>年</w:t>
            </w:r>
            <w:r>
              <w:rPr>
                <w:rFonts w:hint="eastAsia" w:ascii="宋体" w:hAnsi="宋体"/>
                <w:b/>
                <w:bCs w:val="0"/>
                <w:color w:val="auto"/>
                <w:szCs w:val="21"/>
                <w:lang w:val="en-US" w:eastAsia="zh-CN"/>
              </w:rPr>
              <w:t>11</w:t>
            </w:r>
            <w:r>
              <w:rPr>
                <w:rFonts w:hint="eastAsia" w:ascii="宋体" w:hAnsi="宋体"/>
                <w:b/>
                <w:bCs w:val="0"/>
                <w:color w:val="auto"/>
                <w:szCs w:val="21"/>
              </w:rPr>
              <w:t>月</w:t>
            </w:r>
            <w:r>
              <w:rPr>
                <w:rFonts w:hint="eastAsia" w:ascii="宋体" w:hAnsi="宋体"/>
                <w:b/>
                <w:bCs w:val="0"/>
                <w:color w:val="auto"/>
                <w:szCs w:val="21"/>
                <w:lang w:val="en-US" w:eastAsia="zh-CN"/>
              </w:rPr>
              <w:t>11</w:t>
            </w:r>
            <w:r>
              <w:rPr>
                <w:rFonts w:hint="eastAsia" w:ascii="宋体" w:hAnsi="宋体"/>
                <w:b/>
                <w:bCs w:val="0"/>
                <w:color w:val="auto"/>
                <w:szCs w:val="21"/>
              </w:rPr>
              <w:t>日—</w:t>
            </w:r>
            <w:r>
              <w:rPr>
                <w:rFonts w:hint="eastAsia" w:ascii="宋体" w:hAnsi="宋体"/>
                <w:b/>
                <w:bCs w:val="0"/>
                <w:color w:val="auto"/>
                <w:szCs w:val="21"/>
                <w:lang w:val="en-US" w:eastAsia="zh-CN"/>
              </w:rPr>
              <w:t>2025</w:t>
            </w:r>
            <w:r>
              <w:rPr>
                <w:rFonts w:hint="eastAsia" w:ascii="宋体" w:hAnsi="宋体"/>
                <w:b/>
                <w:bCs w:val="0"/>
                <w:color w:val="auto"/>
                <w:szCs w:val="21"/>
              </w:rPr>
              <w:t>年</w:t>
            </w:r>
            <w:r>
              <w:rPr>
                <w:rFonts w:hint="eastAsia" w:ascii="宋体" w:hAnsi="宋体"/>
                <w:b/>
                <w:bCs w:val="0"/>
                <w:color w:val="auto"/>
                <w:szCs w:val="21"/>
                <w:lang w:val="en-US" w:eastAsia="zh-CN"/>
              </w:rPr>
              <w:t>11</w:t>
            </w:r>
            <w:r>
              <w:rPr>
                <w:rFonts w:hint="eastAsia" w:ascii="宋体" w:hAnsi="宋体"/>
                <w:b/>
                <w:bCs w:val="0"/>
                <w:color w:val="auto"/>
                <w:szCs w:val="21"/>
              </w:rPr>
              <w:t>月</w:t>
            </w:r>
            <w:r>
              <w:rPr>
                <w:rFonts w:hint="eastAsia" w:ascii="宋体" w:hAnsi="宋体"/>
                <w:b/>
                <w:bCs w:val="0"/>
                <w:color w:val="auto"/>
                <w:szCs w:val="21"/>
                <w:lang w:val="en-US" w:eastAsia="zh-CN"/>
              </w:rPr>
              <w:t>13</w:t>
            </w:r>
            <w:r>
              <w:rPr>
                <w:rFonts w:hint="eastAsia" w:ascii="宋体" w:hAnsi="宋体"/>
                <w:b/>
                <w:bCs w:val="0"/>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auto"/>
                <w:szCs w:val="21"/>
              </w:rPr>
            </w:pPr>
          </w:p>
          <w:p>
            <w:pPr>
              <w:spacing w:line="500" w:lineRule="exact"/>
              <w:rPr>
                <w:rFonts w:ascii="宋体" w:hAnsi="宋体"/>
                <w:b/>
                <w:bCs w:val="0"/>
                <w:color w:val="auto"/>
                <w:szCs w:val="21"/>
              </w:rPr>
            </w:pPr>
            <w:r>
              <w:rPr>
                <w:rFonts w:hint="eastAsia" w:ascii="宋体" w:hAnsi="宋体"/>
                <w:b/>
                <w:bCs w:val="0"/>
                <w:color w:val="auto"/>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auto"/>
                <w:szCs w:val="21"/>
              </w:rPr>
              <w:t>1.</w:t>
            </w:r>
            <w:r>
              <w:rPr>
                <w:rFonts w:hint="eastAsia" w:ascii="宋体" w:hAnsi="宋体" w:eastAsia="宋体" w:cs="宋体"/>
                <w:b/>
                <w:bCs/>
                <w:color w:val="auto"/>
                <w:sz w:val="21"/>
                <w:szCs w:val="21"/>
              </w:rPr>
              <w:t>最</w:t>
            </w:r>
            <w:r>
              <w:rPr>
                <w:rFonts w:hint="eastAsia" w:ascii="宋体" w:hAnsi="宋体" w:cs="宋体"/>
                <w:b/>
                <w:bCs/>
                <w:color w:val="auto"/>
                <w:sz w:val="21"/>
                <w:szCs w:val="21"/>
                <w:lang w:eastAsia="zh-CN"/>
              </w:rPr>
              <w:t>低</w:t>
            </w:r>
            <w:r>
              <w:rPr>
                <w:rFonts w:hint="eastAsia" w:ascii="宋体" w:hAnsi="宋体" w:eastAsia="宋体" w:cs="宋体"/>
                <w:b/>
                <w:bCs/>
                <w:color w:val="auto"/>
                <w:sz w:val="21"/>
                <w:szCs w:val="21"/>
              </w:rPr>
              <w:t>限价（含税） ：</w:t>
            </w:r>
            <w:r>
              <w:rPr>
                <w:rFonts w:hint="eastAsia" w:ascii="宋体" w:hAnsi="宋体" w:cs="宋体"/>
                <w:b/>
                <w:bCs/>
                <w:color w:val="auto"/>
                <w:sz w:val="21"/>
                <w:szCs w:val="21"/>
                <w:u w:val="single"/>
                <w:lang w:val="en-US" w:eastAsia="zh-CN"/>
              </w:rPr>
              <w:t xml:space="preserve">4340 </w:t>
            </w:r>
            <w:r>
              <w:rPr>
                <w:rFonts w:hint="eastAsia" w:ascii="宋体" w:hAnsi="宋体" w:eastAsia="宋体" w:cs="宋体"/>
                <w:b/>
                <w:bCs/>
                <w:color w:val="auto"/>
                <w:sz w:val="21"/>
                <w:szCs w:val="21"/>
                <w:u w:val="single"/>
                <w:lang w:val="en-US" w:eastAsia="zh-CN"/>
              </w:rPr>
              <w:t xml:space="preserve">元 </w:t>
            </w:r>
            <w:r>
              <w:rPr>
                <w:rFonts w:hint="eastAsia" w:ascii="宋体" w:hAnsi="宋体" w:cs="宋体"/>
                <w:b/>
                <w:bCs/>
                <w:color w:val="auto"/>
                <w:sz w:val="21"/>
                <w:szCs w:val="21"/>
                <w:u w:val="single"/>
                <w:lang w:val="en-US" w:eastAsia="zh-CN"/>
              </w:rPr>
              <w:t xml:space="preserve">,税率为13% </w:t>
            </w:r>
            <w:r>
              <w:rPr>
                <w:rFonts w:hint="eastAsia" w:ascii="宋体" w:hAnsi="宋体" w:cs="宋体"/>
                <w:b/>
                <w:bCs/>
                <w:color w:val="auto"/>
                <w:sz w:val="21"/>
                <w:szCs w:val="21"/>
                <w:u w:val="none"/>
                <w:lang w:val="en-US" w:eastAsia="zh-CN"/>
              </w:rPr>
              <w:t>。</w:t>
            </w:r>
            <w:r>
              <w:rPr>
                <w:rFonts w:hint="eastAsia" w:ascii="宋体" w:hAnsi="宋体"/>
                <w:b/>
                <w:bCs w:val="0"/>
                <w:color w:val="auto"/>
                <w:szCs w:val="21"/>
                <w:lang w:val="en-US" w:eastAsia="zh-CN"/>
              </w:rPr>
              <w:t>供应商</w:t>
            </w:r>
            <w:r>
              <w:rPr>
                <w:rFonts w:hint="eastAsia" w:ascii="宋体" w:hAnsi="宋体"/>
                <w:b/>
                <w:bCs w:val="0"/>
                <w:color w:val="auto"/>
                <w:szCs w:val="21"/>
              </w:rPr>
              <w:t>自主报价，报价总价及各项清单价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w:t>
            </w:r>
            <w:r>
              <w:rPr>
                <w:rFonts w:hint="eastAsia" w:ascii="宋体" w:hAnsi="宋体"/>
                <w:b/>
                <w:bCs w:val="0"/>
                <w:color w:val="auto"/>
                <w:szCs w:val="21"/>
                <w:lang w:eastAsia="zh-CN"/>
              </w:rPr>
              <w:t>低</w:t>
            </w:r>
            <w:r>
              <w:rPr>
                <w:rFonts w:hint="eastAsia" w:ascii="宋体" w:hAnsi="宋体"/>
                <w:b/>
                <w:bCs w:val="0"/>
                <w:color w:val="auto"/>
                <w:szCs w:val="21"/>
              </w:rPr>
              <w:t>于</w:t>
            </w:r>
            <w:r>
              <w:rPr>
                <w:rFonts w:hint="eastAsia" w:ascii="宋体" w:hAnsi="宋体"/>
                <w:b/>
                <w:bCs w:val="0"/>
                <w:color w:val="auto"/>
                <w:szCs w:val="21"/>
                <w:lang w:val="en-US" w:eastAsia="zh-CN"/>
              </w:rPr>
              <w:t>最低限价及控制单价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，低于控制价将视为无效文件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1" w:firstLineChars="100"/>
              <w:rPr>
                <w:rFonts w:hint="default" w:ascii="宋体" w:hAnsi="宋体" w:eastAsia="宋体"/>
                <w:b w:val="0"/>
                <w:bCs/>
                <w:color w:val="auto"/>
                <w:szCs w:val="21"/>
                <w:lang w:val="en-US" w:eastAsia="zh-CN"/>
              </w:rPr>
            </w:pPr>
            <w:r>
              <w:rPr>
                <w:rFonts w:hint="eastAsia" w:ascii="宋体" w:hAnsi="宋体"/>
                <w:b/>
                <w:bCs w:val="0"/>
                <w:color w:val="auto"/>
                <w:szCs w:val="21"/>
              </w:rPr>
              <w:t>2.报价</w:t>
            </w:r>
            <w:r>
              <w:rPr>
                <w:rFonts w:hint="eastAsia" w:ascii="宋体" w:hAnsi="宋体"/>
                <w:b/>
                <w:bCs w:val="0"/>
                <w:color w:val="auto"/>
                <w:szCs w:val="21"/>
                <w:lang w:val="en-US" w:eastAsia="zh-CN"/>
              </w:rPr>
              <w:t>函</w:t>
            </w:r>
            <w:r>
              <w:rPr>
                <w:rFonts w:hint="eastAsia" w:ascii="宋体" w:hAnsi="宋体"/>
                <w:b/>
                <w:bCs w:val="0"/>
                <w:color w:val="auto"/>
                <w:szCs w:val="21"/>
              </w:rPr>
              <w:t>（</w:t>
            </w:r>
            <w:r>
              <w:rPr>
                <w:rFonts w:hint="eastAsia" w:ascii="宋体" w:hAnsi="宋体"/>
                <w:b/>
                <w:bCs w:val="0"/>
                <w:color w:val="auto"/>
                <w:szCs w:val="21"/>
                <w:lang w:val="en-US" w:eastAsia="zh-CN"/>
              </w:rPr>
              <w:t>竞价</w:t>
            </w:r>
            <w:r>
              <w:rPr>
                <w:rFonts w:hint="eastAsia" w:ascii="宋体" w:hAnsi="宋体"/>
                <w:b/>
                <w:bCs w:val="0"/>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竞价响应函；2、报价函及清单；3、法定代表人身份证明或授权委托书；4、承诺函；5、</w:t>
            </w:r>
            <w:r>
              <w:rPr>
                <w:rFonts w:hint="eastAsia" w:ascii="宋体" w:hAnsi="宋体" w:eastAsia="宋体" w:cs="Times New Roman"/>
                <w:b/>
                <w:bCs/>
                <w:color w:val="auto"/>
                <w:sz w:val="21"/>
                <w:szCs w:val="21"/>
                <w:lang w:val="en-US" w:eastAsia="zh-CN"/>
              </w:rPr>
              <w:t>上述报价函组成附件均须胶装成册后密封盖章，不得散页和未密封递交。(未按要求胶装密封的，采购人可以拒收竞价文件</w:t>
            </w:r>
            <w:r>
              <w:rPr>
                <w:rFonts w:ascii="Tahoma" w:hAnsi="Tahoma" w:eastAsia="Tahoma" w:cs="Tahoma"/>
                <w:i w:val="0"/>
                <w:iCs w:val="0"/>
                <w:caps w:val="0"/>
                <w:spacing w:val="0"/>
                <w:sz w:val="22"/>
                <w:szCs w:val="22"/>
                <w:shd w:val="clear" w:fill="F2F2F7"/>
              </w:rPr>
              <w:t>)</w:t>
            </w:r>
            <w:r>
              <w:rPr>
                <w:rFonts w:hint="eastAsia" w:ascii="宋体" w:hAnsi="宋体"/>
                <w:b/>
                <w:bCs w:val="0"/>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auto"/>
                <w:szCs w:val="21"/>
              </w:rPr>
            </w:pPr>
            <w:r>
              <w:rPr>
                <w:rFonts w:hint="eastAsia" w:ascii="宋体" w:hAnsi="宋体"/>
                <w:b/>
                <w:bCs w:val="0"/>
                <w:color w:val="auto"/>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auto"/>
                <w:szCs w:val="21"/>
              </w:rPr>
            </w:pPr>
            <w:r>
              <w:rPr>
                <w:rFonts w:hint="eastAsia" w:ascii="宋体" w:hAnsi="宋体"/>
                <w:b w:val="0"/>
                <w:bCs/>
                <w:color w:val="auto"/>
                <w:szCs w:val="21"/>
              </w:rPr>
              <w:t>采用经</w:t>
            </w:r>
            <w:r>
              <w:rPr>
                <w:rFonts w:hint="eastAsia" w:ascii="宋体" w:hAnsi="宋体"/>
                <w:b w:val="0"/>
                <w:bCs/>
                <w:color w:val="auto"/>
                <w:szCs w:val="21"/>
                <w:lang w:val="en-US" w:eastAsia="zh-CN"/>
              </w:rPr>
              <w:t>评审的最高投标</w:t>
            </w:r>
            <w:r>
              <w:rPr>
                <w:rFonts w:hint="eastAsia" w:ascii="宋体" w:hAnsi="宋体"/>
                <w:b w:val="0"/>
                <w:bCs/>
                <w:color w:val="auto"/>
                <w:szCs w:val="21"/>
              </w:rPr>
              <w:t>价法。</w:t>
            </w:r>
            <w:r>
              <w:rPr>
                <w:rFonts w:hint="eastAsia" w:ascii="宋体" w:hAnsi="宋体"/>
                <w:b w:val="0"/>
                <w:bCs/>
                <w:color w:val="auto"/>
                <w:szCs w:val="21"/>
                <w:lang w:val="en-US" w:eastAsia="zh-CN"/>
              </w:rPr>
              <w:t>采购人对竞价人的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auto"/>
                <w:szCs w:val="21"/>
                <w:lang w:val="en-US" w:eastAsia="zh-CN"/>
              </w:rPr>
            </w:pPr>
            <w:r>
              <w:rPr>
                <w:rFonts w:hint="eastAsia" w:ascii="宋体" w:hAnsi="宋体"/>
                <w:b/>
                <w:bCs w:val="0"/>
                <w:color w:val="auto"/>
                <w:szCs w:val="21"/>
                <w:lang w:val="en-US" w:eastAsia="zh-CN"/>
              </w:rPr>
              <w:t>报价说明</w:t>
            </w:r>
          </w:p>
        </w:tc>
        <w:tc>
          <w:tcPr>
            <w:tcW w:w="7948"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1、 单价已包括材料费、安全文明实施费用、运输费、上下车费、人工费、管理费、利润、税金、风险等全部费用，单价在整个供货期内均不调整，以实际过磅数量结算。</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2、投标文件中报价如果出现下列不一致的，可按以下原则进行修改：</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①</w:t>
            </w:r>
            <w:r>
              <w:rPr>
                <w:rFonts w:hint="eastAsia" w:ascii="宋体" w:hAnsi="宋体"/>
                <w:b w:val="0"/>
                <w:bCs/>
                <w:color w:val="auto"/>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②</w:t>
            </w:r>
            <w:r>
              <w:rPr>
                <w:rFonts w:hint="eastAsia" w:ascii="宋体" w:hAnsi="宋体"/>
                <w:b w:val="0"/>
                <w:bCs/>
                <w:color w:val="auto"/>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③</w:t>
            </w:r>
            <w:r>
              <w:rPr>
                <w:rFonts w:hint="eastAsia" w:ascii="宋体" w:hAnsi="宋体"/>
                <w:b w:val="0"/>
                <w:bCs/>
                <w:color w:val="auto"/>
                <w:szCs w:val="21"/>
                <w:lang w:val="en-US" w:eastAsia="zh-CN"/>
              </w:rPr>
              <w:t>单价金额小数点或者百分比有明显错位的，以总价为准，修正单价。</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spacing w:line="500" w:lineRule="exact"/>
              <w:rPr>
                <w:rFonts w:hint="eastAsia" w:ascii="宋体" w:hAnsi="宋体"/>
                <w:b/>
                <w:bCs w:val="0"/>
                <w:color w:val="auto"/>
                <w:szCs w:val="21"/>
                <w:lang w:val="en-US" w:eastAsia="zh-CN"/>
              </w:rPr>
            </w:pPr>
            <w:r>
              <w:rPr>
                <w:rFonts w:hint="eastAsia" w:ascii="宋体" w:hAnsi="宋体"/>
                <w:b/>
                <w:bCs w:val="0"/>
                <w:color w:val="auto"/>
                <w:szCs w:val="21"/>
                <w:lang w:val="en-US" w:eastAsia="zh-CN"/>
              </w:rPr>
              <w:t>3、对于供应商报价清单漏报项，未超过采购清单项数5%（含本数）且缺项累计金额（取值逻辑：根据采购清单控制单价取值计算）未超过采购控制价2%的，采购人视为供应商漏项价格包含在其他分项报价及总报价中。若供应商报价清单漏报项数超过采购清单项数5%（不含本数）或超过采购控制价2%的，其竞价文件无效。</w:t>
            </w:r>
          </w:p>
          <w:p>
            <w:pPr>
              <w:rPr>
                <w:rFonts w:hint="default"/>
                <w:color w:val="auto"/>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0"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竞价书</w:t>
            </w:r>
            <w:r>
              <w:rPr>
                <w:rFonts w:hint="eastAsia" w:ascii="宋体" w:hAnsi="宋体"/>
                <w:b/>
                <w:bCs w:val="0"/>
                <w:color w:val="auto"/>
                <w:szCs w:val="21"/>
              </w:rPr>
              <w:t>提交时间</w:t>
            </w:r>
            <w:r>
              <w:rPr>
                <w:rFonts w:hint="eastAsia" w:ascii="宋体" w:hAnsi="宋体"/>
                <w:b/>
                <w:bCs w:val="0"/>
                <w:color w:val="auto"/>
                <w:szCs w:val="21"/>
                <w:lang w:val="en-US" w:eastAsia="zh-CN"/>
              </w:rPr>
              <w:t>及竞价方式</w:t>
            </w:r>
          </w:p>
        </w:tc>
        <w:tc>
          <w:tcPr>
            <w:tcW w:w="7948" w:type="dxa"/>
            <w:gridSpan w:val="3"/>
            <w:noWrap w:val="0"/>
            <w:vAlign w:val="top"/>
          </w:tcPr>
          <w:p>
            <w:pPr>
              <w:numPr>
                <w:ilvl w:val="0"/>
                <w:numId w:val="0"/>
              </w:numPr>
              <w:rPr>
                <w:rFonts w:hint="eastAsia"/>
                <w:color w:val="auto"/>
                <w:lang w:eastAsia="zh-CN"/>
              </w:rPr>
            </w:pPr>
            <w:r>
              <w:rPr>
                <w:rFonts w:hint="eastAsia"/>
                <w:color w:val="auto"/>
                <w:lang w:val="en-US" w:eastAsia="zh-CN"/>
              </w:rPr>
              <w:t>1、竞价书</w:t>
            </w:r>
            <w:r>
              <w:rPr>
                <w:rFonts w:hint="eastAsia"/>
                <w:color w:val="auto"/>
              </w:rPr>
              <w:t>递交</w:t>
            </w:r>
            <w:r>
              <w:rPr>
                <w:rFonts w:hint="eastAsia"/>
                <w:color w:val="auto"/>
                <w:lang w:val="en-US" w:eastAsia="zh-CN"/>
              </w:rPr>
              <w:t>截止（开标）</w:t>
            </w:r>
            <w:r>
              <w:rPr>
                <w:rFonts w:hint="eastAsia"/>
                <w:color w:val="auto"/>
              </w:rPr>
              <w:t>时间：</w:t>
            </w:r>
            <w:r>
              <w:rPr>
                <w:rFonts w:hint="eastAsia"/>
                <w:color w:val="auto"/>
                <w:lang w:val="en-US" w:eastAsia="zh-CN"/>
              </w:rPr>
              <w:t>2025</w:t>
            </w:r>
            <w:r>
              <w:rPr>
                <w:rFonts w:hint="eastAsia"/>
                <w:color w:val="auto"/>
              </w:rPr>
              <w:t>年</w:t>
            </w:r>
            <w:r>
              <w:rPr>
                <w:rFonts w:hint="eastAsia"/>
                <w:color w:val="auto"/>
                <w:lang w:val="en-US" w:eastAsia="zh-CN"/>
              </w:rPr>
              <w:t>11</w:t>
            </w:r>
            <w:r>
              <w:rPr>
                <w:rFonts w:hint="eastAsia"/>
                <w:color w:val="auto"/>
              </w:rPr>
              <w:t>月</w:t>
            </w:r>
            <w:r>
              <w:rPr>
                <w:rFonts w:hint="eastAsia"/>
                <w:color w:val="auto"/>
                <w:lang w:val="en-US" w:eastAsia="zh-CN"/>
              </w:rPr>
              <w:t>14</w:t>
            </w:r>
            <w:r>
              <w:rPr>
                <w:rFonts w:hint="eastAsia"/>
                <w:color w:val="auto"/>
              </w:rPr>
              <w:t>日</w:t>
            </w:r>
            <w:r>
              <w:rPr>
                <w:rFonts w:hint="eastAsia"/>
                <w:color w:val="auto"/>
                <w:lang w:val="en-US" w:eastAsia="zh-CN"/>
              </w:rPr>
              <w:t>10</w:t>
            </w:r>
            <w:r>
              <w:rPr>
                <w:rFonts w:hint="eastAsia"/>
                <w:color w:val="auto"/>
              </w:rPr>
              <w:t>时</w:t>
            </w:r>
            <w:r>
              <w:rPr>
                <w:rFonts w:hint="eastAsia"/>
                <w:color w:val="auto"/>
                <w:lang w:val="en-US" w:eastAsia="zh-CN"/>
              </w:rPr>
              <w:t>00</w:t>
            </w:r>
            <w:r>
              <w:rPr>
                <w:rFonts w:hint="eastAsia"/>
                <w:color w:val="auto"/>
              </w:rPr>
              <w:t>分（北京时间）</w:t>
            </w:r>
            <w:r>
              <w:rPr>
                <w:rFonts w:hint="eastAsia"/>
                <w:color w:val="auto"/>
                <w:lang w:eastAsia="zh-CN"/>
              </w:rPr>
              <w:t>。</w:t>
            </w:r>
          </w:p>
          <w:p>
            <w:pPr>
              <w:numPr>
                <w:ilvl w:val="0"/>
                <w:numId w:val="0"/>
              </w:numPr>
              <w:rPr>
                <w:rFonts w:hint="eastAsia"/>
                <w:color w:val="auto"/>
                <w:lang w:val="en-US" w:eastAsia="zh-CN"/>
              </w:rPr>
            </w:pPr>
            <w:r>
              <w:rPr>
                <w:rFonts w:hint="eastAsia"/>
                <w:color w:val="auto"/>
                <w:lang w:val="en-US" w:eastAsia="zh-CN"/>
              </w:rPr>
              <w:t>2、本次竞价方式：</w:t>
            </w:r>
            <w:r>
              <w:rPr>
                <w:rFonts w:hint="eastAsia"/>
                <w:color w:val="auto"/>
                <w:u w:val="single"/>
                <w:lang w:val="en-US" w:eastAsia="zh-CN"/>
              </w:rPr>
              <w:t xml:space="preserve">  书面竞价  </w:t>
            </w:r>
            <w:r>
              <w:rPr>
                <w:rFonts w:hint="eastAsia"/>
                <w:color w:val="auto"/>
                <w:lang w:val="en-US" w:eastAsia="zh-CN"/>
              </w:rPr>
              <w:t>（书面竞价/现场竞价）。</w:t>
            </w:r>
          </w:p>
          <w:p>
            <w:pPr>
              <w:numPr>
                <w:ilvl w:val="0"/>
                <w:numId w:val="0"/>
              </w:numPr>
              <w:rPr>
                <w:rFonts w:hint="default"/>
                <w:color w:val="auto"/>
                <w:lang w:val="en-US"/>
              </w:rPr>
            </w:pPr>
            <w:r>
              <w:rPr>
                <w:rFonts w:hint="default"/>
                <w:color w:val="auto"/>
                <w:lang w:val="en-US" w:eastAsia="zh-CN"/>
              </w:rPr>
              <w:t>①</w:t>
            </w:r>
            <w:r>
              <w:rPr>
                <w:rFonts w:hint="eastAsia"/>
                <w:b/>
                <w:bCs/>
                <w:color w:val="auto"/>
                <w:lang w:val="en-US" w:eastAsia="zh-CN"/>
              </w:rPr>
              <w:t>书面竞价：</w:t>
            </w:r>
            <w:r>
              <w:rPr>
                <w:rFonts w:hint="eastAsia"/>
                <w:color w:val="auto"/>
                <w:lang w:val="en-US" w:eastAsia="zh-CN"/>
              </w:rPr>
              <w:t>接受在递交截止时间前通过以下任意一种方式递交：</w:t>
            </w:r>
            <w:r>
              <w:rPr>
                <w:rFonts w:hint="eastAsia"/>
                <w:color w:val="auto"/>
                <w:u w:val="single"/>
                <w:lang w:val="en-US" w:eastAsia="zh-CN"/>
              </w:rPr>
              <w:t>邮寄/现场递交</w:t>
            </w:r>
            <w:r>
              <w:rPr>
                <w:rFonts w:hint="eastAsia"/>
                <w:color w:val="auto"/>
                <w:u w:val="none"/>
                <w:lang w:val="en-US" w:eastAsia="zh-CN"/>
              </w:rPr>
              <w:t>，竞价人须在递交截止时间前</w:t>
            </w:r>
            <w:r>
              <w:rPr>
                <w:rFonts w:hint="eastAsia"/>
                <w:color w:val="auto"/>
                <w:lang w:val="en-US" w:eastAsia="zh-CN"/>
              </w:rPr>
              <w:t>将竞价书纸质原件按照竞价函要求</w:t>
            </w:r>
            <w:r>
              <w:rPr>
                <w:rFonts w:hint="eastAsia"/>
                <w:b/>
                <w:bCs/>
                <w:color w:val="auto"/>
                <w:lang w:val="en-US" w:eastAsia="zh-CN"/>
              </w:rPr>
              <w:t>签字、盖章、胶装成册密封盖章</w:t>
            </w:r>
            <w:r>
              <w:rPr>
                <w:rFonts w:hint="eastAsia"/>
                <w:color w:val="auto"/>
                <w:lang w:val="en-US" w:eastAsia="zh-CN"/>
              </w:rPr>
              <w:t>后邮寄到场或现场递交至</w:t>
            </w:r>
            <w:r>
              <w:rPr>
                <w:rFonts w:hint="eastAsia"/>
                <w:color w:val="auto"/>
              </w:rPr>
              <w:t>：</w:t>
            </w:r>
            <w:r>
              <w:rPr>
                <w:rFonts w:hint="eastAsia"/>
                <w:color w:val="auto"/>
                <w:lang w:val="en-US" w:eastAsia="zh-CN"/>
              </w:rPr>
              <w:t>雅安石棉大渡河建设发展有限公司</w:t>
            </w:r>
            <w:r>
              <w:rPr>
                <w:rFonts w:hint="eastAsia"/>
                <w:color w:val="auto"/>
              </w:rPr>
              <w:t>，地址：</w:t>
            </w:r>
            <w:r>
              <w:rPr>
                <w:rFonts w:hint="eastAsia"/>
                <w:color w:val="auto"/>
                <w:lang w:val="en-US" w:eastAsia="zh-CN"/>
              </w:rPr>
              <w:t>雅安市雨城区和兴街1号，收件人：</w:t>
            </w:r>
            <w:r>
              <w:rPr>
                <w:rFonts w:hint="eastAsia"/>
                <w:color w:val="auto"/>
                <w:u w:val="single"/>
                <w:lang w:val="en-US" w:eastAsia="zh-CN"/>
              </w:rPr>
              <w:t>高先生</w:t>
            </w:r>
            <w:r>
              <w:rPr>
                <w:rFonts w:hint="eastAsia"/>
                <w:color w:val="auto"/>
                <w:lang w:val="en-US" w:eastAsia="zh-CN"/>
              </w:rPr>
              <w:t>，电话：</w:t>
            </w:r>
            <w:r>
              <w:rPr>
                <w:rFonts w:hint="eastAsia"/>
                <w:color w:val="auto"/>
                <w:u w:val="single"/>
                <w:lang w:val="en-US" w:eastAsia="zh-CN"/>
              </w:rPr>
              <w:t>18180008214</w:t>
            </w:r>
            <w:r>
              <w:rPr>
                <w:rFonts w:hint="eastAsia"/>
                <w:color w:val="auto"/>
                <w:lang w:val="en-US" w:eastAsia="zh-CN"/>
              </w:rPr>
              <w:t>。</w:t>
            </w:r>
            <w:r>
              <w:rPr>
                <w:rFonts w:hint="eastAsia" w:ascii="宋体" w:hAnsi="宋体"/>
                <w:b/>
                <w:bCs w:val="0"/>
                <w:color w:val="auto"/>
                <w:szCs w:val="21"/>
                <w:lang w:val="en-US" w:eastAsia="zh-CN"/>
              </w:rPr>
              <w:t>各供应商须将存有与竞价书一致的扫描件U盘与竞价书一并封装后进行递交，提前通过电话报名领取竞价采购资料。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收款方式</w:t>
            </w:r>
          </w:p>
        </w:tc>
        <w:tc>
          <w:tcPr>
            <w:tcW w:w="7948" w:type="dxa"/>
            <w:gridSpan w:val="3"/>
            <w:noWrap w:val="0"/>
            <w:vAlign w:val="top"/>
          </w:tcPr>
          <w:p>
            <w:pPr>
              <w:spacing w:line="500" w:lineRule="exact"/>
              <w:rPr>
                <w:rFonts w:hint="default" w:ascii="宋体" w:hAnsi="宋体" w:cs="Times New Roman"/>
                <w:b w:val="0"/>
                <w:bCs/>
                <w:color w:val="auto"/>
                <w:szCs w:val="21"/>
                <w:lang w:val="en-US" w:eastAsia="zh-CN"/>
              </w:rPr>
            </w:pPr>
            <w:r>
              <w:rPr>
                <w:rFonts w:hint="eastAsia" w:ascii="宋体" w:hAnsi="宋体" w:cs="Times New Roman"/>
                <w:b w:val="0"/>
                <w:bCs/>
                <w:color w:val="auto"/>
                <w:szCs w:val="21"/>
                <w:lang w:val="en-US" w:eastAsia="zh-CN"/>
              </w:rPr>
              <w:t>废旧物资交接后，按双方签字确认过磅单结算，回收方一次性支付出售方100%款项。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合同授予</w:t>
            </w:r>
          </w:p>
        </w:tc>
        <w:tc>
          <w:tcPr>
            <w:tcW w:w="7948" w:type="dxa"/>
            <w:gridSpan w:val="3"/>
            <w:noWrap w:val="0"/>
            <w:vAlign w:val="top"/>
          </w:tcPr>
          <w:p>
            <w:pPr>
              <w:spacing w:line="500" w:lineRule="exact"/>
              <w:rPr>
                <w:rFonts w:hint="eastAsia" w:ascii="宋体" w:hAnsi="宋体" w:cs="Times New Roman"/>
                <w:b w:val="0"/>
                <w:bCs/>
                <w:color w:val="auto"/>
                <w:szCs w:val="21"/>
                <w:lang w:val="en-US" w:eastAsia="zh-CN"/>
              </w:rPr>
            </w:pPr>
            <w:r>
              <w:rPr>
                <w:rFonts w:hint="eastAsia" w:ascii="宋体" w:hAnsi="宋体" w:cs="Times New Roman"/>
                <w:b w:val="0"/>
                <w:bCs/>
                <w:color w:val="auto"/>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auto"/>
                <w:szCs w:val="21"/>
              </w:rPr>
            </w:pPr>
            <w:r>
              <w:rPr>
                <w:rFonts w:hint="eastAsia" w:ascii="宋体" w:hAnsi="宋体"/>
                <w:b/>
                <w:bCs w:val="0"/>
                <w:color w:val="auto"/>
                <w:szCs w:val="21"/>
              </w:rPr>
              <w:t>廉洁要求</w:t>
            </w:r>
          </w:p>
        </w:tc>
        <w:tc>
          <w:tcPr>
            <w:tcW w:w="7948" w:type="dxa"/>
            <w:gridSpan w:val="3"/>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rPr>
              <w:t>要求</w:t>
            </w:r>
            <w:r>
              <w:rPr>
                <w:rFonts w:hint="eastAsia" w:ascii="宋体" w:hAnsi="宋体"/>
                <w:b w:val="0"/>
                <w:bCs/>
                <w:color w:val="auto"/>
                <w:szCs w:val="21"/>
                <w:lang w:eastAsia="zh-CN"/>
              </w:rPr>
              <w:t>收购方</w:t>
            </w:r>
            <w:r>
              <w:rPr>
                <w:rFonts w:hint="eastAsia" w:ascii="宋体" w:hAnsi="宋体"/>
                <w:b w:val="0"/>
                <w:bCs/>
                <w:color w:val="auto"/>
                <w:szCs w:val="21"/>
              </w:rPr>
              <w:t>公开、公平、公正参与本次</w:t>
            </w:r>
            <w:r>
              <w:rPr>
                <w:rFonts w:hint="eastAsia" w:ascii="宋体" w:hAnsi="宋体"/>
                <w:b w:val="0"/>
                <w:bCs/>
                <w:color w:val="auto"/>
                <w:szCs w:val="21"/>
                <w:lang w:eastAsia="zh-CN"/>
              </w:rPr>
              <w:t>竞价</w:t>
            </w:r>
            <w:r>
              <w:rPr>
                <w:rFonts w:hint="eastAsia" w:ascii="宋体" w:hAnsi="宋体"/>
                <w:b w:val="0"/>
                <w:bCs/>
                <w:color w:val="auto"/>
                <w:szCs w:val="21"/>
              </w:rPr>
              <w:t>，</w:t>
            </w:r>
            <w:r>
              <w:rPr>
                <w:rFonts w:hint="eastAsia" w:ascii="宋体" w:hAnsi="宋体"/>
                <w:b w:val="0"/>
                <w:bCs/>
                <w:color w:val="auto"/>
                <w:szCs w:val="21"/>
                <w:lang w:val="en-US" w:eastAsia="zh-CN"/>
              </w:rPr>
              <w:t>无论是在竞价</w:t>
            </w:r>
            <w:r>
              <w:rPr>
                <w:rFonts w:hint="eastAsia" w:ascii="宋体" w:hAnsi="宋体"/>
                <w:b w:val="0"/>
                <w:bCs/>
                <w:color w:val="auto"/>
                <w:szCs w:val="21"/>
              </w:rPr>
              <w:t>过程</w:t>
            </w:r>
            <w:r>
              <w:rPr>
                <w:rFonts w:hint="eastAsia" w:ascii="宋体" w:hAnsi="宋体"/>
                <w:b w:val="0"/>
                <w:bCs/>
                <w:color w:val="auto"/>
                <w:szCs w:val="21"/>
                <w:lang w:val="en-US" w:eastAsia="zh-CN"/>
              </w:rPr>
              <w:t>或合同履约过程中出现</w:t>
            </w:r>
            <w:r>
              <w:rPr>
                <w:rFonts w:hint="eastAsia" w:ascii="宋体" w:hAnsi="宋体"/>
                <w:b w:val="0"/>
                <w:bCs/>
                <w:color w:val="auto"/>
                <w:szCs w:val="21"/>
              </w:rPr>
              <w:t>有围标、串标、陪标、行贿、</w:t>
            </w:r>
            <w:r>
              <w:rPr>
                <w:rFonts w:hint="eastAsia" w:ascii="宋体" w:hAnsi="宋体"/>
                <w:b w:val="0"/>
                <w:bCs/>
                <w:color w:val="auto"/>
                <w:szCs w:val="21"/>
                <w:lang w:val="en-US" w:eastAsia="zh-CN"/>
              </w:rPr>
              <w:t>提供虚假资料谋取中选</w:t>
            </w:r>
            <w:r>
              <w:rPr>
                <w:rFonts w:hint="eastAsia" w:ascii="宋体" w:hAnsi="宋体"/>
                <w:b w:val="0"/>
                <w:bCs/>
                <w:color w:val="auto"/>
                <w:szCs w:val="21"/>
              </w:rPr>
              <w:t>等行为</w:t>
            </w:r>
            <w:r>
              <w:rPr>
                <w:rFonts w:hint="eastAsia" w:ascii="宋体" w:hAnsi="宋体"/>
                <w:b w:val="0"/>
                <w:bCs/>
                <w:color w:val="auto"/>
                <w:szCs w:val="21"/>
                <w:lang w:val="en-US" w:eastAsia="zh-CN"/>
              </w:rPr>
              <w:t>的</w:t>
            </w:r>
            <w:r>
              <w:rPr>
                <w:rFonts w:hint="eastAsia" w:ascii="宋体" w:hAnsi="宋体"/>
                <w:b w:val="0"/>
                <w:bCs/>
                <w:color w:val="auto"/>
                <w:szCs w:val="21"/>
              </w:rPr>
              <w:t>，</w:t>
            </w:r>
            <w:r>
              <w:rPr>
                <w:rFonts w:hint="eastAsia" w:ascii="宋体" w:hAnsi="宋体"/>
                <w:b w:val="0"/>
                <w:bCs/>
                <w:color w:val="auto"/>
                <w:szCs w:val="21"/>
                <w:lang w:eastAsia="zh-CN"/>
              </w:rPr>
              <w:t>处置方</w:t>
            </w:r>
            <w:r>
              <w:rPr>
                <w:rFonts w:hint="eastAsia" w:ascii="宋体" w:hAnsi="宋体"/>
                <w:b w:val="0"/>
                <w:bCs/>
                <w:color w:val="auto"/>
                <w:szCs w:val="21"/>
              </w:rPr>
              <w:t>将按照下列规定处理供应商：</w:t>
            </w:r>
          </w:p>
          <w:p>
            <w:pPr>
              <w:spacing w:line="500" w:lineRule="exact"/>
              <w:rPr>
                <w:rFonts w:hint="eastAsia" w:ascii="宋体" w:hAnsi="宋体"/>
                <w:b w:val="0"/>
                <w:bCs/>
                <w:color w:val="auto"/>
                <w:szCs w:val="21"/>
              </w:rPr>
            </w:pPr>
            <w:r>
              <w:rPr>
                <w:rFonts w:hint="eastAsia" w:ascii="宋体" w:hAnsi="宋体"/>
                <w:b w:val="0"/>
                <w:bCs/>
                <w:color w:val="auto"/>
                <w:szCs w:val="21"/>
              </w:rPr>
              <w:t>（1）已中选的，中选无效。已签订合同的，</w:t>
            </w:r>
            <w:r>
              <w:rPr>
                <w:rFonts w:hint="eastAsia" w:ascii="宋体" w:hAnsi="宋体"/>
                <w:b w:val="0"/>
                <w:bCs/>
                <w:color w:val="auto"/>
                <w:szCs w:val="21"/>
                <w:lang w:eastAsia="zh-CN"/>
              </w:rPr>
              <w:t>处置方</w:t>
            </w:r>
            <w:r>
              <w:rPr>
                <w:rFonts w:hint="eastAsia" w:ascii="宋体" w:hAnsi="宋体"/>
                <w:b w:val="0"/>
                <w:bCs/>
                <w:color w:val="auto"/>
                <w:szCs w:val="21"/>
              </w:rPr>
              <w:t>有权解除合同，并没收相关保证金（如有），还需按合同其他约定承担导致合同终止的违约责任，同时</w:t>
            </w:r>
            <w:r>
              <w:rPr>
                <w:rFonts w:hint="eastAsia" w:ascii="宋体" w:hAnsi="宋体"/>
                <w:b w:val="0"/>
                <w:bCs/>
                <w:color w:val="auto"/>
                <w:szCs w:val="21"/>
                <w:lang w:eastAsia="zh-CN"/>
              </w:rPr>
              <w:t>处置方</w:t>
            </w:r>
            <w:r>
              <w:rPr>
                <w:rFonts w:hint="eastAsia" w:ascii="宋体" w:hAnsi="宋体"/>
                <w:b w:val="0"/>
                <w:bCs/>
                <w:color w:val="auto"/>
                <w:szCs w:val="21"/>
              </w:rPr>
              <w:t>可对违规方单位采取必要措施（包括暂停支付与</w:t>
            </w:r>
            <w:r>
              <w:rPr>
                <w:rFonts w:hint="eastAsia" w:ascii="宋体" w:hAnsi="宋体"/>
                <w:b w:val="0"/>
                <w:bCs/>
                <w:color w:val="auto"/>
                <w:szCs w:val="21"/>
                <w:lang w:eastAsia="zh-CN"/>
              </w:rPr>
              <w:t>处置方</w:t>
            </w:r>
            <w:r>
              <w:rPr>
                <w:rFonts w:hint="eastAsia" w:ascii="宋体" w:hAnsi="宋体"/>
                <w:b w:val="0"/>
                <w:bCs/>
                <w:color w:val="auto"/>
                <w:szCs w:val="21"/>
              </w:rPr>
              <w:t>相关合作项目的所有应付账款，或通过司法途径向</w:t>
            </w:r>
            <w:r>
              <w:rPr>
                <w:rFonts w:hint="eastAsia" w:ascii="宋体" w:hAnsi="宋体"/>
                <w:b w:val="0"/>
                <w:bCs/>
                <w:color w:val="auto"/>
                <w:szCs w:val="21"/>
                <w:lang w:eastAsia="zh-CN"/>
              </w:rPr>
              <w:t>收购方</w:t>
            </w:r>
            <w:r>
              <w:rPr>
                <w:rFonts w:hint="eastAsia" w:ascii="宋体" w:hAnsi="宋体"/>
                <w:b w:val="0"/>
                <w:bCs/>
                <w:color w:val="auto"/>
                <w:szCs w:val="21"/>
              </w:rPr>
              <w:t>追偿由此造成采购人的一切经济及商业损失）。</w:t>
            </w:r>
          </w:p>
          <w:p>
            <w:pPr>
              <w:spacing w:line="500" w:lineRule="exact"/>
              <w:rPr>
                <w:rFonts w:hint="eastAsia" w:ascii="宋体" w:hAnsi="宋体"/>
                <w:b w:val="0"/>
                <w:bCs/>
                <w:color w:val="auto"/>
                <w:szCs w:val="21"/>
              </w:rPr>
            </w:pPr>
            <w:r>
              <w:rPr>
                <w:rFonts w:hint="eastAsia" w:ascii="宋体" w:hAnsi="宋体"/>
                <w:b w:val="0"/>
                <w:bCs/>
                <w:color w:val="auto"/>
                <w:szCs w:val="21"/>
              </w:rPr>
              <w:t>（2）</w:t>
            </w:r>
            <w:r>
              <w:rPr>
                <w:rFonts w:hint="eastAsia" w:ascii="宋体" w:hAnsi="宋体"/>
                <w:b w:val="0"/>
                <w:bCs/>
                <w:color w:val="auto"/>
                <w:szCs w:val="21"/>
                <w:lang w:eastAsia="zh-CN"/>
              </w:rPr>
              <w:t>处置方</w:t>
            </w:r>
            <w:r>
              <w:rPr>
                <w:rFonts w:hint="eastAsia" w:ascii="宋体" w:hAnsi="宋体"/>
                <w:b w:val="0"/>
                <w:bCs/>
                <w:color w:val="auto"/>
                <w:szCs w:val="21"/>
              </w:rPr>
              <w:t>有权可通过诉讼方式向违规供方主张权利。</w:t>
            </w:r>
          </w:p>
          <w:p>
            <w:pPr>
              <w:spacing w:line="500" w:lineRule="exact"/>
              <w:rPr>
                <w:rFonts w:ascii="宋体" w:hAnsi="宋体"/>
                <w:b w:val="0"/>
                <w:bCs/>
                <w:color w:val="auto"/>
                <w:szCs w:val="21"/>
              </w:rPr>
            </w:pPr>
            <w:r>
              <w:rPr>
                <w:rFonts w:hint="eastAsia" w:ascii="宋体" w:hAnsi="宋体"/>
                <w:b w:val="0"/>
                <w:bCs/>
                <w:color w:val="auto"/>
                <w:szCs w:val="21"/>
              </w:rPr>
              <w:t>（3）</w:t>
            </w:r>
            <w:r>
              <w:rPr>
                <w:rFonts w:hint="eastAsia" w:ascii="宋体" w:hAnsi="宋体"/>
                <w:b w:val="0"/>
                <w:bCs/>
                <w:color w:val="auto"/>
                <w:szCs w:val="21"/>
                <w:lang w:eastAsia="zh-CN"/>
              </w:rPr>
              <w:t>处置方</w:t>
            </w:r>
            <w:r>
              <w:rPr>
                <w:rFonts w:hint="eastAsia" w:ascii="宋体" w:hAnsi="宋体"/>
                <w:b w:val="0"/>
                <w:bCs/>
                <w:color w:val="auto"/>
                <w:szCs w:val="21"/>
              </w:rPr>
              <w:t>有权将违规单位列入采购人</w:t>
            </w:r>
            <w:r>
              <w:rPr>
                <w:rFonts w:hint="eastAsia" w:ascii="宋体" w:hAnsi="宋体"/>
                <w:b w:val="0"/>
                <w:bCs/>
                <w:color w:val="auto"/>
                <w:szCs w:val="21"/>
                <w:lang w:val="en-US" w:eastAsia="zh-CN"/>
              </w:rPr>
              <w:t>的</w:t>
            </w:r>
            <w:r>
              <w:rPr>
                <w:rFonts w:hint="eastAsia" w:ascii="宋体" w:hAnsi="宋体"/>
                <w:b w:val="0"/>
                <w:bCs/>
                <w:color w:val="auto"/>
                <w:szCs w:val="21"/>
                <w:lang w:eastAsia="zh-CN"/>
              </w:rPr>
              <w:t>不诚信</w:t>
            </w:r>
            <w:r>
              <w:rPr>
                <w:rFonts w:hint="eastAsia" w:ascii="宋体" w:hAnsi="宋体"/>
                <w:b w:val="0"/>
                <w:bCs/>
                <w:color w:val="auto"/>
                <w:szCs w:val="21"/>
              </w:rPr>
              <w:t>名单</w:t>
            </w:r>
            <w:r>
              <w:rPr>
                <w:rFonts w:hint="eastAsia" w:ascii="宋体" w:hAnsi="宋体"/>
                <w:b w:val="0"/>
                <w:bCs/>
                <w:color w:val="auto"/>
                <w:szCs w:val="21"/>
                <w:lang w:val="en-US" w:eastAsia="zh-CN"/>
              </w:rPr>
              <w:t>三年</w:t>
            </w:r>
            <w:r>
              <w:rPr>
                <w:rFonts w:hint="eastAsia" w:ascii="宋体" w:hAnsi="宋体"/>
                <w:b w:val="0"/>
                <w:bCs/>
                <w:color w:val="auto"/>
                <w:szCs w:val="21"/>
              </w:rPr>
              <w:t>。</w:t>
            </w:r>
          </w:p>
        </w:tc>
      </w:tr>
    </w:tbl>
    <w:p>
      <w:pPr>
        <w:pStyle w:val="4"/>
        <w:rPr>
          <w:rFonts w:hint="eastAsia"/>
          <w:lang w:val="en-US" w:eastAsia="zh-CN"/>
        </w:rPr>
      </w:pPr>
      <w:bookmarkStart w:id="0" w:name="_GoBack"/>
      <w:bookmarkEnd w:id="0"/>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p>
    <w:sectPr>
      <w:headerReference r:id="rId3" w:type="default"/>
      <w:footerReference r:id="rId4"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pos w:val="beneathText"/>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lMTU4ODhhMjNkNzBhMWQ5YWVkNjY1MTNlNGFjNzQifQ=="/>
  </w:docVars>
  <w:rsids>
    <w:rsidRoot w:val="00172A27"/>
    <w:rsid w:val="000E5D71"/>
    <w:rsid w:val="00215DD1"/>
    <w:rsid w:val="00296707"/>
    <w:rsid w:val="007B4A44"/>
    <w:rsid w:val="015A40AD"/>
    <w:rsid w:val="01DD59FB"/>
    <w:rsid w:val="026A5B1C"/>
    <w:rsid w:val="0314369E"/>
    <w:rsid w:val="032164CF"/>
    <w:rsid w:val="038A7E04"/>
    <w:rsid w:val="03A367D0"/>
    <w:rsid w:val="03EA08A3"/>
    <w:rsid w:val="045F4DED"/>
    <w:rsid w:val="04602913"/>
    <w:rsid w:val="052337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E46D81"/>
    <w:rsid w:val="08FC70AB"/>
    <w:rsid w:val="09410F65"/>
    <w:rsid w:val="0946657C"/>
    <w:rsid w:val="0968726A"/>
    <w:rsid w:val="09AF4121"/>
    <w:rsid w:val="09DF70B8"/>
    <w:rsid w:val="0A3E36F7"/>
    <w:rsid w:val="0A4A3F1E"/>
    <w:rsid w:val="0A526E6E"/>
    <w:rsid w:val="0A8E01DA"/>
    <w:rsid w:val="0AA865FD"/>
    <w:rsid w:val="0B0C7351"/>
    <w:rsid w:val="0B220922"/>
    <w:rsid w:val="0B2D382F"/>
    <w:rsid w:val="0BF7590B"/>
    <w:rsid w:val="0C61547A"/>
    <w:rsid w:val="0C684A5B"/>
    <w:rsid w:val="0C7E602C"/>
    <w:rsid w:val="0D045D48"/>
    <w:rsid w:val="0D3E064B"/>
    <w:rsid w:val="0D431C09"/>
    <w:rsid w:val="0DE10631"/>
    <w:rsid w:val="0DFD12B6"/>
    <w:rsid w:val="0EA904C1"/>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49746A1"/>
    <w:rsid w:val="152943BF"/>
    <w:rsid w:val="156264EB"/>
    <w:rsid w:val="160C6457"/>
    <w:rsid w:val="16E96798"/>
    <w:rsid w:val="16F30B10"/>
    <w:rsid w:val="17424280"/>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E53AF9"/>
    <w:rsid w:val="1DFB572F"/>
    <w:rsid w:val="1ED61CF8"/>
    <w:rsid w:val="1ED7283A"/>
    <w:rsid w:val="1ED760CE"/>
    <w:rsid w:val="1F51312D"/>
    <w:rsid w:val="1F7F5714"/>
    <w:rsid w:val="1FC81641"/>
    <w:rsid w:val="1FE8583F"/>
    <w:rsid w:val="20062169"/>
    <w:rsid w:val="2020147D"/>
    <w:rsid w:val="205C5547"/>
    <w:rsid w:val="20AA080C"/>
    <w:rsid w:val="212C521A"/>
    <w:rsid w:val="2133507B"/>
    <w:rsid w:val="21696E53"/>
    <w:rsid w:val="21AB1252"/>
    <w:rsid w:val="21C0574E"/>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186AC9"/>
    <w:rsid w:val="273325C3"/>
    <w:rsid w:val="273B7AC2"/>
    <w:rsid w:val="27554102"/>
    <w:rsid w:val="275A1718"/>
    <w:rsid w:val="28305FD5"/>
    <w:rsid w:val="287405B8"/>
    <w:rsid w:val="289A5B44"/>
    <w:rsid w:val="28AA6040"/>
    <w:rsid w:val="28D76D98"/>
    <w:rsid w:val="29883BEF"/>
    <w:rsid w:val="29BB3FC4"/>
    <w:rsid w:val="29C95561"/>
    <w:rsid w:val="2AAB228B"/>
    <w:rsid w:val="2AF7102C"/>
    <w:rsid w:val="2B97636B"/>
    <w:rsid w:val="2C6E531E"/>
    <w:rsid w:val="2C82551C"/>
    <w:rsid w:val="2C8903AA"/>
    <w:rsid w:val="2CAB0320"/>
    <w:rsid w:val="2CBC5AF7"/>
    <w:rsid w:val="2CC3566A"/>
    <w:rsid w:val="2CE43832"/>
    <w:rsid w:val="2D572256"/>
    <w:rsid w:val="2D636BD1"/>
    <w:rsid w:val="2D947006"/>
    <w:rsid w:val="2DF47AA5"/>
    <w:rsid w:val="2E0423DE"/>
    <w:rsid w:val="2E1B3283"/>
    <w:rsid w:val="2E1D6FFC"/>
    <w:rsid w:val="2E2548A9"/>
    <w:rsid w:val="2E2F7612"/>
    <w:rsid w:val="2E3648D4"/>
    <w:rsid w:val="2E876B6B"/>
    <w:rsid w:val="2EE74D27"/>
    <w:rsid w:val="2F171C9D"/>
    <w:rsid w:val="2F44025A"/>
    <w:rsid w:val="2F7B222C"/>
    <w:rsid w:val="30A25EDE"/>
    <w:rsid w:val="31091AB9"/>
    <w:rsid w:val="310B75DF"/>
    <w:rsid w:val="31271F3F"/>
    <w:rsid w:val="31A43590"/>
    <w:rsid w:val="31F369F1"/>
    <w:rsid w:val="329068A4"/>
    <w:rsid w:val="32C043F9"/>
    <w:rsid w:val="32EC51EE"/>
    <w:rsid w:val="33DA14EB"/>
    <w:rsid w:val="3437693D"/>
    <w:rsid w:val="34713BFD"/>
    <w:rsid w:val="34AC370D"/>
    <w:rsid w:val="34CE72A2"/>
    <w:rsid w:val="34D128EE"/>
    <w:rsid w:val="35284C04"/>
    <w:rsid w:val="355C3E01"/>
    <w:rsid w:val="359A7184"/>
    <w:rsid w:val="35BE10C4"/>
    <w:rsid w:val="35EB472B"/>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3FF433F7"/>
    <w:rsid w:val="405014B2"/>
    <w:rsid w:val="40501DC1"/>
    <w:rsid w:val="413466DE"/>
    <w:rsid w:val="415F7756"/>
    <w:rsid w:val="41633FF2"/>
    <w:rsid w:val="41A91D47"/>
    <w:rsid w:val="41B63597"/>
    <w:rsid w:val="4214206C"/>
    <w:rsid w:val="42366486"/>
    <w:rsid w:val="42472441"/>
    <w:rsid w:val="42905B96"/>
    <w:rsid w:val="42BD444E"/>
    <w:rsid w:val="42BD5B38"/>
    <w:rsid w:val="43087E22"/>
    <w:rsid w:val="434C41B3"/>
    <w:rsid w:val="43D321DE"/>
    <w:rsid w:val="44384737"/>
    <w:rsid w:val="44531605"/>
    <w:rsid w:val="445D7CFA"/>
    <w:rsid w:val="44685EC7"/>
    <w:rsid w:val="449C102A"/>
    <w:rsid w:val="44A70C07"/>
    <w:rsid w:val="45594DED"/>
    <w:rsid w:val="456652D4"/>
    <w:rsid w:val="45667082"/>
    <w:rsid w:val="45F433AC"/>
    <w:rsid w:val="466E26B2"/>
    <w:rsid w:val="46767537"/>
    <w:rsid w:val="46DE0ED1"/>
    <w:rsid w:val="470923BB"/>
    <w:rsid w:val="47192F76"/>
    <w:rsid w:val="475A66E9"/>
    <w:rsid w:val="484336AB"/>
    <w:rsid w:val="484E49E0"/>
    <w:rsid w:val="487D6BBD"/>
    <w:rsid w:val="488A3088"/>
    <w:rsid w:val="48961A2D"/>
    <w:rsid w:val="48BF2D31"/>
    <w:rsid w:val="48D662CD"/>
    <w:rsid w:val="49373210"/>
    <w:rsid w:val="498C40E5"/>
    <w:rsid w:val="49A14B2D"/>
    <w:rsid w:val="49E54A1A"/>
    <w:rsid w:val="4A044DB9"/>
    <w:rsid w:val="4A275032"/>
    <w:rsid w:val="4A3459A1"/>
    <w:rsid w:val="4A3D2AA8"/>
    <w:rsid w:val="4A6C0C97"/>
    <w:rsid w:val="4A954692"/>
    <w:rsid w:val="4AA80403"/>
    <w:rsid w:val="4B3317B5"/>
    <w:rsid w:val="4B4E4840"/>
    <w:rsid w:val="4C3A6B73"/>
    <w:rsid w:val="4CEF795D"/>
    <w:rsid w:val="4CF03E01"/>
    <w:rsid w:val="4D0F1DAD"/>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8042EB"/>
    <w:rsid w:val="5A931936"/>
    <w:rsid w:val="5AB04A47"/>
    <w:rsid w:val="5C71038F"/>
    <w:rsid w:val="5C78171D"/>
    <w:rsid w:val="5C8E3FF5"/>
    <w:rsid w:val="5CD64696"/>
    <w:rsid w:val="5D443CF5"/>
    <w:rsid w:val="5D855D7E"/>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33767"/>
    <w:rsid w:val="63BA6ABF"/>
    <w:rsid w:val="63F0603D"/>
    <w:rsid w:val="642F3009"/>
    <w:rsid w:val="644C6694"/>
    <w:rsid w:val="647C54E3"/>
    <w:rsid w:val="64874BF3"/>
    <w:rsid w:val="64EC4A56"/>
    <w:rsid w:val="64F63B27"/>
    <w:rsid w:val="650049A6"/>
    <w:rsid w:val="65072E52"/>
    <w:rsid w:val="65303521"/>
    <w:rsid w:val="65AC2438"/>
    <w:rsid w:val="661A55F3"/>
    <w:rsid w:val="66344907"/>
    <w:rsid w:val="6659497C"/>
    <w:rsid w:val="66E80E2A"/>
    <w:rsid w:val="67EC3C77"/>
    <w:rsid w:val="68060525"/>
    <w:rsid w:val="681F15E7"/>
    <w:rsid w:val="68C857DA"/>
    <w:rsid w:val="692E7D33"/>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7F4AE4"/>
    <w:rsid w:val="6E9C5E15"/>
    <w:rsid w:val="6F15104E"/>
    <w:rsid w:val="6F5E47A3"/>
    <w:rsid w:val="703B4AAA"/>
    <w:rsid w:val="70480FAF"/>
    <w:rsid w:val="70796E02"/>
    <w:rsid w:val="70B908CA"/>
    <w:rsid w:val="710B44B6"/>
    <w:rsid w:val="717402AD"/>
    <w:rsid w:val="719F0817"/>
    <w:rsid w:val="71BC67C6"/>
    <w:rsid w:val="72964253"/>
    <w:rsid w:val="72C05B3A"/>
    <w:rsid w:val="733C3258"/>
    <w:rsid w:val="73A330CC"/>
    <w:rsid w:val="73D2575F"/>
    <w:rsid w:val="7416389E"/>
    <w:rsid w:val="748C0004"/>
    <w:rsid w:val="749F14A3"/>
    <w:rsid w:val="74D44B0B"/>
    <w:rsid w:val="74FC2045"/>
    <w:rsid w:val="765C57B4"/>
    <w:rsid w:val="768F43A1"/>
    <w:rsid w:val="77974CF6"/>
    <w:rsid w:val="779B2290"/>
    <w:rsid w:val="77FC6E26"/>
    <w:rsid w:val="78625F6B"/>
    <w:rsid w:val="78830352"/>
    <w:rsid w:val="78A31478"/>
    <w:rsid w:val="78A5551D"/>
    <w:rsid w:val="78FD502C"/>
    <w:rsid w:val="79A454A8"/>
    <w:rsid w:val="7ACD45C5"/>
    <w:rsid w:val="7AFB1A3F"/>
    <w:rsid w:val="7B2A3852"/>
    <w:rsid w:val="7B4004BF"/>
    <w:rsid w:val="7B673E15"/>
    <w:rsid w:val="7B851222"/>
    <w:rsid w:val="7B9F061D"/>
    <w:rsid w:val="7BDF00E3"/>
    <w:rsid w:val="7C303C2D"/>
    <w:rsid w:val="7C8A7395"/>
    <w:rsid w:val="7CA83501"/>
    <w:rsid w:val="7D55116A"/>
    <w:rsid w:val="7D9F4904"/>
    <w:rsid w:val="7DCF4ABD"/>
    <w:rsid w:val="7E4A02F2"/>
    <w:rsid w:val="7E584AB3"/>
    <w:rsid w:val="7E9417F3"/>
    <w:rsid w:val="7FAB3A34"/>
    <w:rsid w:val="7FC622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widowControl/>
      <w:ind w:firstLine="420"/>
      <w:jc w:val="left"/>
    </w:pPr>
    <w:rPr>
      <w:kern w:val="0"/>
      <w:sz w:val="20"/>
      <w:szCs w:val="20"/>
    </w:rPr>
  </w:style>
  <w:style w:type="paragraph" w:styleId="4">
    <w:name w:val="Body Text"/>
    <w:basedOn w:val="1"/>
    <w:next w:val="5"/>
    <w:qFormat/>
    <w:uiPriority w:val="0"/>
    <w:pPr>
      <w:suppressAutoHyphens/>
      <w:spacing w:after="120"/>
    </w:pPr>
    <w:rPr>
      <w:kern w:val="1"/>
      <w:szCs w:val="20"/>
      <w:lang w:eastAsia="ar-SA"/>
    </w:rPr>
  </w:style>
  <w:style w:type="paragraph" w:styleId="5">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Body Text Indent"/>
    <w:basedOn w:val="1"/>
    <w:next w:val="1"/>
    <w:qFormat/>
    <w:uiPriority w:val="0"/>
    <w:pPr>
      <w:spacing w:line="500" w:lineRule="exact"/>
      <w:ind w:firstLine="560" w:firstLineChars="200"/>
    </w:pPr>
    <w:rPr>
      <w:sz w:val="28"/>
    </w:rPr>
  </w:style>
  <w:style w:type="paragraph" w:styleId="7">
    <w:name w:val="Plain Text"/>
    <w:basedOn w:val="1"/>
    <w:qFormat/>
    <w:uiPriority w:val="0"/>
    <w:rPr>
      <w:rFonts w:hint="eastAsia" w:ascii="宋体" w:hAnsi="Courier New" w:eastAsia="仿宋_GB2312"/>
      <w:sz w:val="10"/>
      <w:szCs w:val="20"/>
    </w:rPr>
  </w:style>
  <w:style w:type="paragraph" w:styleId="8">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9">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0">
    <w:name w:val="Body Text First Indent 2"/>
    <w:basedOn w:val="6"/>
    <w:qFormat/>
    <w:uiPriority w:val="0"/>
    <w:pPr>
      <w:ind w:firstLine="200" w:firstLineChars="200"/>
    </w:pPr>
  </w:style>
  <w:style w:type="character" w:styleId="13">
    <w:name w:val="page number"/>
    <w:basedOn w:val="14"/>
    <w:qFormat/>
    <w:uiPriority w:val="0"/>
  </w:style>
  <w:style w:type="character" w:customStyle="1" w:styleId="14">
    <w:name w:val="默认段落字体1"/>
    <w:qFormat/>
    <w:uiPriority w:val="0"/>
  </w:style>
  <w:style w:type="character" w:customStyle="1" w:styleId="15">
    <w:name w:val="font51"/>
    <w:basedOn w:val="12"/>
    <w:qFormat/>
    <w:uiPriority w:val="0"/>
    <w:rPr>
      <w:rFonts w:hint="eastAsia" w:ascii="宋体" w:hAnsi="宋体" w:eastAsia="宋体" w:cs="宋体"/>
      <w:color w:val="000000"/>
      <w:sz w:val="16"/>
      <w:szCs w:val="16"/>
      <w:u w:val="single"/>
    </w:rPr>
  </w:style>
  <w:style w:type="character" w:customStyle="1" w:styleId="16">
    <w:name w:val="font31"/>
    <w:basedOn w:val="12"/>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3827</Words>
  <Characters>3917</Characters>
  <Lines>0</Lines>
  <Paragraphs>0</Paragraphs>
  <TotalTime>113</TotalTime>
  <ScaleCrop>false</ScaleCrop>
  <LinksUpToDate>false</LinksUpToDate>
  <CharactersWithSpaces>4418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晓晓</cp:lastModifiedBy>
  <cp:lastPrinted>2024-04-12T01:50:00Z</cp:lastPrinted>
  <dcterms:modified xsi:type="dcterms:W3CDTF">2025-11-10T08:37:54Z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commondata">
    <vt:lpwstr>eyJoZGlkIjoiOGE0YWM2YTgzNDZmMDI4NzlmYmU4NWQ2ZDE5YmFmY2UifQ==</vt:lpwstr>
  </property>
  <property fmtid="{D5CDD505-2E9C-101B-9397-08002B2CF9AE}" pid="4" name="ICV">
    <vt:lpwstr>D9331C69A0E24053B1B2E7CBE45A016A_13</vt:lpwstr>
  </property>
  <property fmtid="{D5CDD505-2E9C-101B-9397-08002B2CF9AE}" pid="5" name="KSOTemplateDocerSaveRecord">
    <vt:lpwstr>eyJoZGlkIjoiZjU3ZjA2MWJmYjExYjE1ZTc4NjdlNGM4MmY0ODNlZjAiLCJ1c2VySWQiOiI0ODQ1OTY3OTAifQ==</vt:lpwstr>
  </property>
</Properties>
</file>